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3E879" w14:textId="5B289D15" w:rsidR="00AC33E0" w:rsidRPr="009C69DC" w:rsidRDefault="00AC33E0" w:rsidP="00AC33E0">
      <w:pPr>
        <w:autoSpaceDE/>
        <w:autoSpaceDN/>
        <w:adjustRightInd/>
        <w:spacing w:after="0"/>
        <w:jc w:val="left"/>
        <w:rPr>
          <w:rFonts w:cs="Arial"/>
          <w:highlight w:val="yellow"/>
        </w:rPr>
        <w:sectPr w:rsidR="00AC33E0" w:rsidRPr="009C69DC" w:rsidSect="00AC33E0">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9C69DC">
        <w:rPr>
          <w:rFonts w:cs="Arial"/>
          <w:noProof/>
          <w:highlight w:val="yellow"/>
          <w:lang w:eastAsia="en-GB"/>
        </w:rPr>
        <mc:AlternateContent>
          <mc:Choice Requires="wps">
            <w:drawing>
              <wp:anchor distT="0" distB="0" distL="114300" distR="114300" simplePos="0" relativeHeight="251658240" behindDoc="0" locked="0" layoutInCell="1" allowOverlap="1" wp14:anchorId="3EBF6C7D" wp14:editId="401F1FB2">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A27FB" w14:textId="77777777" w:rsidR="007D0D5E" w:rsidRDefault="007D0D5E" w:rsidP="00AC33E0">
                            <w:pPr>
                              <w:spacing w:after="0"/>
                              <w:ind w:right="-46"/>
                              <w:jc w:val="left"/>
                              <w:rPr>
                                <w:rFonts w:cs="Arial"/>
                                <w:b/>
                                <w:bCs/>
                                <w:sz w:val="52"/>
                                <w:szCs w:val="52"/>
                              </w:rPr>
                            </w:pPr>
                          </w:p>
                          <w:p w14:paraId="6CAC9CED" w14:textId="77777777" w:rsidR="007D0D5E" w:rsidRDefault="007D0D5E" w:rsidP="00AC33E0">
                            <w:pPr>
                              <w:spacing w:after="0"/>
                              <w:ind w:right="-46"/>
                              <w:jc w:val="left"/>
                              <w:rPr>
                                <w:rFonts w:cs="Arial"/>
                                <w:b/>
                                <w:bCs/>
                                <w:sz w:val="52"/>
                                <w:szCs w:val="52"/>
                              </w:rPr>
                            </w:pPr>
                            <w:r>
                              <w:rPr>
                                <w:rFonts w:cs="Arial"/>
                                <w:b/>
                                <w:bCs/>
                                <w:sz w:val="52"/>
                                <w:szCs w:val="52"/>
                              </w:rPr>
                              <w:t>Money Matters</w:t>
                            </w:r>
                          </w:p>
                          <w:p w14:paraId="350D1AA6" w14:textId="77777777" w:rsidR="007D0D5E" w:rsidRDefault="007D0D5E" w:rsidP="00AC33E0">
                            <w:pPr>
                              <w:spacing w:after="0"/>
                              <w:ind w:right="-46"/>
                              <w:jc w:val="left"/>
                              <w:rPr>
                                <w:rFonts w:cs="Arial"/>
                                <w:b/>
                                <w:bCs/>
                                <w:sz w:val="52"/>
                                <w:szCs w:val="52"/>
                              </w:rPr>
                            </w:pPr>
                            <w:r>
                              <w:rPr>
                                <w:rFonts w:cs="Arial"/>
                                <w:b/>
                                <w:bCs/>
                                <w:sz w:val="52"/>
                                <w:szCs w:val="52"/>
                              </w:rPr>
                              <w:t>Financial Outlook for the County Council</w:t>
                            </w:r>
                          </w:p>
                          <w:p w14:paraId="52C4112B" w14:textId="77777777" w:rsidR="007D0D5E" w:rsidRDefault="007D0D5E" w:rsidP="00AC33E0">
                            <w:pPr>
                              <w:spacing w:after="0"/>
                              <w:ind w:right="-46"/>
                              <w:jc w:val="left"/>
                              <w:rPr>
                                <w:rFonts w:cs="Arial"/>
                                <w:b/>
                                <w:bCs/>
                                <w:sz w:val="52"/>
                                <w:szCs w:val="52"/>
                              </w:rPr>
                            </w:pPr>
                            <w:r>
                              <w:rPr>
                                <w:rFonts w:cs="Arial"/>
                                <w:b/>
                                <w:bCs/>
                                <w:sz w:val="52"/>
                                <w:szCs w:val="52"/>
                              </w:rPr>
                              <w:t>Medium Term Financial Strategy &amp; Reserves as at 30</w:t>
                            </w:r>
                            <w:r w:rsidRPr="009C69DC">
                              <w:rPr>
                                <w:rFonts w:cs="Arial"/>
                                <w:b/>
                                <w:bCs/>
                                <w:sz w:val="52"/>
                                <w:szCs w:val="52"/>
                                <w:vertAlign w:val="superscript"/>
                              </w:rPr>
                              <w:t>th</w:t>
                            </w:r>
                            <w:r>
                              <w:rPr>
                                <w:rFonts w:cs="Arial"/>
                                <w:b/>
                                <w:bCs/>
                                <w:sz w:val="52"/>
                                <w:szCs w:val="52"/>
                              </w:rPr>
                              <w:t xml:space="preserve"> June 2019</w:t>
                            </w:r>
                          </w:p>
                          <w:p w14:paraId="46D387AC" w14:textId="77777777" w:rsidR="007D0D5E" w:rsidRPr="0037393E" w:rsidRDefault="007D0D5E" w:rsidP="00AC33E0">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EBF6C7D"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14:paraId="3C0A27FB" w14:textId="77777777" w:rsidR="007D0D5E" w:rsidRDefault="007D0D5E" w:rsidP="00AC33E0">
                      <w:pPr>
                        <w:spacing w:after="0"/>
                        <w:ind w:right="-46"/>
                        <w:jc w:val="left"/>
                        <w:rPr>
                          <w:rFonts w:cs="Arial"/>
                          <w:b/>
                          <w:bCs/>
                          <w:sz w:val="52"/>
                          <w:szCs w:val="52"/>
                        </w:rPr>
                      </w:pPr>
                    </w:p>
                    <w:p w14:paraId="6CAC9CED" w14:textId="77777777" w:rsidR="007D0D5E" w:rsidRDefault="007D0D5E" w:rsidP="00AC33E0">
                      <w:pPr>
                        <w:spacing w:after="0"/>
                        <w:ind w:right="-46"/>
                        <w:jc w:val="left"/>
                        <w:rPr>
                          <w:rFonts w:cs="Arial"/>
                          <w:b/>
                          <w:bCs/>
                          <w:sz w:val="52"/>
                          <w:szCs w:val="52"/>
                        </w:rPr>
                      </w:pPr>
                      <w:r>
                        <w:rPr>
                          <w:rFonts w:cs="Arial"/>
                          <w:b/>
                          <w:bCs/>
                          <w:sz w:val="52"/>
                          <w:szCs w:val="52"/>
                        </w:rPr>
                        <w:t>Money Matters</w:t>
                      </w:r>
                    </w:p>
                    <w:p w14:paraId="350D1AA6" w14:textId="77777777" w:rsidR="007D0D5E" w:rsidRDefault="007D0D5E" w:rsidP="00AC33E0">
                      <w:pPr>
                        <w:spacing w:after="0"/>
                        <w:ind w:right="-46"/>
                        <w:jc w:val="left"/>
                        <w:rPr>
                          <w:rFonts w:cs="Arial"/>
                          <w:b/>
                          <w:bCs/>
                          <w:sz w:val="52"/>
                          <w:szCs w:val="52"/>
                        </w:rPr>
                      </w:pPr>
                      <w:r>
                        <w:rPr>
                          <w:rFonts w:cs="Arial"/>
                          <w:b/>
                          <w:bCs/>
                          <w:sz w:val="52"/>
                          <w:szCs w:val="52"/>
                        </w:rPr>
                        <w:t>Financial Outlook for the County Council</w:t>
                      </w:r>
                    </w:p>
                    <w:p w14:paraId="52C4112B" w14:textId="77777777" w:rsidR="007D0D5E" w:rsidRDefault="007D0D5E" w:rsidP="00AC33E0">
                      <w:pPr>
                        <w:spacing w:after="0"/>
                        <w:ind w:right="-46"/>
                        <w:jc w:val="left"/>
                        <w:rPr>
                          <w:rFonts w:cs="Arial"/>
                          <w:b/>
                          <w:bCs/>
                          <w:sz w:val="52"/>
                          <w:szCs w:val="52"/>
                        </w:rPr>
                      </w:pPr>
                      <w:r>
                        <w:rPr>
                          <w:rFonts w:cs="Arial"/>
                          <w:b/>
                          <w:bCs/>
                          <w:sz w:val="52"/>
                          <w:szCs w:val="52"/>
                        </w:rPr>
                        <w:t>Medium Term Financial Strategy &amp; Reserves as at 30</w:t>
                      </w:r>
                      <w:r w:rsidRPr="009C69DC">
                        <w:rPr>
                          <w:rFonts w:cs="Arial"/>
                          <w:b/>
                          <w:bCs/>
                          <w:sz w:val="52"/>
                          <w:szCs w:val="52"/>
                          <w:vertAlign w:val="superscript"/>
                        </w:rPr>
                        <w:t>th</w:t>
                      </w:r>
                      <w:r>
                        <w:rPr>
                          <w:rFonts w:cs="Arial"/>
                          <w:b/>
                          <w:bCs/>
                          <w:sz w:val="52"/>
                          <w:szCs w:val="52"/>
                        </w:rPr>
                        <w:t xml:space="preserve"> June 2019</w:t>
                      </w:r>
                    </w:p>
                    <w:p w14:paraId="46D387AC" w14:textId="77777777" w:rsidR="007D0D5E" w:rsidRPr="0037393E" w:rsidRDefault="007D0D5E" w:rsidP="00AC33E0">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93099B" w14:paraId="7104F24E" w14:textId="77777777" w:rsidTr="00AC33E0">
        <w:trPr>
          <w:trHeight w:val="699"/>
        </w:trPr>
        <w:tc>
          <w:tcPr>
            <w:tcW w:w="562" w:type="dxa"/>
            <w:vAlign w:val="center"/>
          </w:tcPr>
          <w:p w14:paraId="7DCA2D9D" w14:textId="77777777" w:rsidR="00AC33E0" w:rsidRPr="00D477CF" w:rsidRDefault="00AC33E0" w:rsidP="00AC33E0">
            <w:pPr>
              <w:spacing w:after="0"/>
              <w:ind w:right="-46"/>
              <w:jc w:val="center"/>
              <w:rPr>
                <w:rFonts w:cs="Arial"/>
                <w:b/>
                <w:bCs/>
              </w:rPr>
            </w:pPr>
          </w:p>
        </w:tc>
        <w:tc>
          <w:tcPr>
            <w:tcW w:w="5437" w:type="dxa"/>
            <w:vAlign w:val="center"/>
          </w:tcPr>
          <w:p w14:paraId="5044E110" w14:textId="77777777" w:rsidR="00AC33E0" w:rsidRPr="00D477CF" w:rsidRDefault="00AC33E0" w:rsidP="00AC33E0">
            <w:pPr>
              <w:spacing w:after="0"/>
              <w:ind w:right="-46"/>
              <w:jc w:val="center"/>
              <w:rPr>
                <w:rFonts w:cs="Arial"/>
                <w:b/>
                <w:bCs/>
              </w:rPr>
            </w:pPr>
            <w:r w:rsidRPr="00D477CF">
              <w:rPr>
                <w:rFonts w:cs="Arial"/>
                <w:b/>
                <w:bCs/>
              </w:rPr>
              <w:t>Contents</w:t>
            </w:r>
          </w:p>
        </w:tc>
        <w:tc>
          <w:tcPr>
            <w:tcW w:w="3017" w:type="dxa"/>
            <w:shd w:val="clear" w:color="auto" w:fill="auto"/>
            <w:vAlign w:val="center"/>
          </w:tcPr>
          <w:p w14:paraId="7D7AF48E" w14:textId="77777777" w:rsidR="00AC33E0" w:rsidRPr="00D477CF" w:rsidRDefault="00AC33E0" w:rsidP="00AC33E0">
            <w:pPr>
              <w:spacing w:after="0"/>
              <w:ind w:right="-46"/>
              <w:jc w:val="center"/>
              <w:rPr>
                <w:rFonts w:cs="Arial"/>
                <w:b/>
                <w:bCs/>
              </w:rPr>
            </w:pPr>
            <w:r w:rsidRPr="00D477CF">
              <w:rPr>
                <w:rFonts w:cs="Arial"/>
                <w:b/>
                <w:bCs/>
              </w:rPr>
              <w:t>Page</w:t>
            </w:r>
          </w:p>
        </w:tc>
      </w:tr>
      <w:tr w:rsidR="0093099B" w14:paraId="184ED998" w14:textId="77777777" w:rsidTr="00AC33E0">
        <w:tc>
          <w:tcPr>
            <w:tcW w:w="562" w:type="dxa"/>
            <w:vAlign w:val="center"/>
          </w:tcPr>
          <w:p w14:paraId="65D08AF4" w14:textId="77777777" w:rsidR="00AC33E0" w:rsidRPr="00D477CF" w:rsidRDefault="00AC33E0" w:rsidP="00AC33E0">
            <w:pPr>
              <w:spacing w:after="0"/>
              <w:ind w:right="-46"/>
              <w:jc w:val="center"/>
              <w:rPr>
                <w:rFonts w:cs="Arial"/>
                <w:b/>
                <w:bCs/>
              </w:rPr>
            </w:pPr>
            <w:r w:rsidRPr="00D477CF">
              <w:rPr>
                <w:rFonts w:cs="Arial"/>
                <w:b/>
                <w:bCs/>
              </w:rPr>
              <w:t>1</w:t>
            </w:r>
          </w:p>
        </w:tc>
        <w:tc>
          <w:tcPr>
            <w:tcW w:w="5437" w:type="dxa"/>
            <w:vAlign w:val="center"/>
          </w:tcPr>
          <w:p w14:paraId="0C6F8CC8" w14:textId="77777777" w:rsidR="00AC33E0" w:rsidRPr="00D477CF" w:rsidRDefault="00AC33E0" w:rsidP="00AC33E0">
            <w:pPr>
              <w:spacing w:after="0"/>
              <w:ind w:right="-46"/>
              <w:rPr>
                <w:rFonts w:cs="Arial"/>
                <w:b/>
                <w:bCs/>
              </w:rPr>
            </w:pPr>
          </w:p>
          <w:p w14:paraId="2E789BD7" w14:textId="77777777" w:rsidR="00AC33E0" w:rsidRPr="00D477CF" w:rsidRDefault="00AC33E0" w:rsidP="00AC33E0">
            <w:pPr>
              <w:spacing w:after="0"/>
              <w:ind w:right="-46"/>
              <w:rPr>
                <w:rFonts w:cs="Arial"/>
                <w:b/>
                <w:bCs/>
              </w:rPr>
            </w:pPr>
            <w:r w:rsidRPr="00D477CF">
              <w:rPr>
                <w:rFonts w:cs="Arial"/>
                <w:b/>
                <w:bCs/>
              </w:rPr>
              <w:t>Executive Summary</w:t>
            </w:r>
          </w:p>
          <w:p w14:paraId="63FF5002" w14:textId="77777777" w:rsidR="00AC33E0" w:rsidRPr="00D477CF" w:rsidRDefault="00AC33E0" w:rsidP="00AC33E0">
            <w:pPr>
              <w:spacing w:after="0"/>
              <w:ind w:right="-46"/>
              <w:rPr>
                <w:rFonts w:cs="Arial"/>
                <w:b/>
                <w:bCs/>
              </w:rPr>
            </w:pPr>
          </w:p>
        </w:tc>
        <w:tc>
          <w:tcPr>
            <w:tcW w:w="3017" w:type="dxa"/>
            <w:vAlign w:val="center"/>
          </w:tcPr>
          <w:p w14:paraId="54AD52D0" w14:textId="77777777" w:rsidR="00AC33E0" w:rsidRPr="00D477CF" w:rsidRDefault="00AC33E0" w:rsidP="00AC33E0">
            <w:pPr>
              <w:spacing w:after="0"/>
              <w:ind w:right="-46"/>
              <w:jc w:val="center"/>
              <w:rPr>
                <w:rFonts w:cs="Arial"/>
                <w:b/>
                <w:bCs/>
              </w:rPr>
            </w:pPr>
            <w:r>
              <w:rPr>
                <w:rFonts w:cs="Arial"/>
                <w:b/>
                <w:bCs/>
              </w:rPr>
              <w:t>3</w:t>
            </w:r>
          </w:p>
        </w:tc>
      </w:tr>
      <w:tr w:rsidR="0093099B" w14:paraId="4B920E76" w14:textId="77777777" w:rsidTr="00AC33E0">
        <w:tc>
          <w:tcPr>
            <w:tcW w:w="562" w:type="dxa"/>
            <w:vAlign w:val="center"/>
          </w:tcPr>
          <w:p w14:paraId="23FE6281" w14:textId="77777777" w:rsidR="00AC33E0" w:rsidRPr="00D477CF" w:rsidRDefault="00AC33E0" w:rsidP="00AC33E0">
            <w:pPr>
              <w:spacing w:after="0"/>
              <w:ind w:right="-46"/>
              <w:jc w:val="center"/>
              <w:rPr>
                <w:rFonts w:cs="Arial"/>
                <w:b/>
                <w:bCs/>
              </w:rPr>
            </w:pPr>
            <w:r w:rsidRPr="00D477CF">
              <w:rPr>
                <w:rFonts w:cs="Arial"/>
                <w:b/>
                <w:bCs/>
              </w:rPr>
              <w:t>2</w:t>
            </w:r>
          </w:p>
        </w:tc>
        <w:tc>
          <w:tcPr>
            <w:tcW w:w="5437" w:type="dxa"/>
            <w:vAlign w:val="center"/>
          </w:tcPr>
          <w:p w14:paraId="7115B0DF" w14:textId="77777777" w:rsidR="00AC33E0" w:rsidRPr="00D477CF" w:rsidRDefault="00AC33E0" w:rsidP="00AC33E0">
            <w:pPr>
              <w:spacing w:after="0"/>
              <w:ind w:right="-46"/>
              <w:rPr>
                <w:rFonts w:cs="Arial"/>
                <w:b/>
                <w:bCs/>
              </w:rPr>
            </w:pPr>
          </w:p>
          <w:p w14:paraId="682F5C30" w14:textId="77777777" w:rsidR="00AC33E0" w:rsidRPr="00D477CF" w:rsidRDefault="00AC33E0" w:rsidP="00AC33E0">
            <w:pPr>
              <w:spacing w:after="0"/>
              <w:ind w:right="-46"/>
              <w:rPr>
                <w:rFonts w:cs="Arial"/>
                <w:b/>
                <w:bCs/>
              </w:rPr>
            </w:pPr>
            <w:r w:rsidRPr="00D477CF">
              <w:rPr>
                <w:rFonts w:cs="Arial"/>
                <w:b/>
                <w:bCs/>
              </w:rPr>
              <w:t>Funding</w:t>
            </w:r>
          </w:p>
          <w:p w14:paraId="7BF07CF8" w14:textId="77777777" w:rsidR="00AC33E0" w:rsidRPr="00D477CF" w:rsidRDefault="00AC33E0" w:rsidP="00AC33E0">
            <w:pPr>
              <w:spacing w:after="0"/>
              <w:ind w:right="-46"/>
              <w:rPr>
                <w:rFonts w:cs="Arial"/>
                <w:b/>
                <w:bCs/>
              </w:rPr>
            </w:pPr>
          </w:p>
        </w:tc>
        <w:tc>
          <w:tcPr>
            <w:tcW w:w="3017" w:type="dxa"/>
            <w:vAlign w:val="center"/>
          </w:tcPr>
          <w:p w14:paraId="53F726A3" w14:textId="77777777" w:rsidR="00AC33E0" w:rsidRPr="00D477CF" w:rsidRDefault="00AC33E0" w:rsidP="00AC33E0">
            <w:pPr>
              <w:spacing w:after="0"/>
              <w:ind w:right="-46"/>
              <w:jc w:val="center"/>
              <w:rPr>
                <w:rFonts w:cs="Arial"/>
                <w:b/>
                <w:bCs/>
              </w:rPr>
            </w:pPr>
            <w:r>
              <w:rPr>
                <w:rFonts w:cs="Arial"/>
                <w:b/>
                <w:bCs/>
              </w:rPr>
              <w:t>7</w:t>
            </w:r>
          </w:p>
        </w:tc>
      </w:tr>
      <w:tr w:rsidR="0093099B" w14:paraId="07566906" w14:textId="77777777" w:rsidTr="00AC33E0">
        <w:tc>
          <w:tcPr>
            <w:tcW w:w="562" w:type="dxa"/>
            <w:vAlign w:val="center"/>
          </w:tcPr>
          <w:p w14:paraId="3D419724" w14:textId="77777777" w:rsidR="00AC33E0" w:rsidRPr="00D477CF" w:rsidRDefault="00AC33E0" w:rsidP="00AC33E0">
            <w:pPr>
              <w:spacing w:after="0"/>
              <w:ind w:right="-46"/>
              <w:jc w:val="center"/>
              <w:rPr>
                <w:rFonts w:cs="Arial"/>
                <w:b/>
                <w:bCs/>
              </w:rPr>
            </w:pPr>
            <w:r w:rsidRPr="00D477CF">
              <w:rPr>
                <w:rFonts w:cs="Arial"/>
                <w:b/>
                <w:bCs/>
              </w:rPr>
              <w:t>3</w:t>
            </w:r>
          </w:p>
        </w:tc>
        <w:tc>
          <w:tcPr>
            <w:tcW w:w="5437" w:type="dxa"/>
            <w:vAlign w:val="center"/>
          </w:tcPr>
          <w:p w14:paraId="1850047E" w14:textId="77777777" w:rsidR="00AC33E0" w:rsidRPr="00D477CF" w:rsidRDefault="00AC33E0" w:rsidP="00AC33E0">
            <w:pPr>
              <w:spacing w:after="0"/>
              <w:ind w:right="-46"/>
              <w:rPr>
                <w:rFonts w:cs="Arial"/>
                <w:b/>
                <w:bCs/>
              </w:rPr>
            </w:pPr>
          </w:p>
          <w:p w14:paraId="50C90308" w14:textId="77777777" w:rsidR="00AC33E0" w:rsidRPr="00D477CF" w:rsidRDefault="00AC33E0" w:rsidP="00AC33E0">
            <w:pPr>
              <w:spacing w:after="0"/>
              <w:ind w:right="-46"/>
              <w:rPr>
                <w:rFonts w:cs="Arial"/>
                <w:b/>
                <w:bCs/>
              </w:rPr>
            </w:pPr>
            <w:r w:rsidRPr="00D477CF">
              <w:rPr>
                <w:rFonts w:cs="Arial"/>
                <w:b/>
                <w:bCs/>
              </w:rPr>
              <w:t xml:space="preserve">Net Budget Requirement </w:t>
            </w:r>
          </w:p>
          <w:p w14:paraId="4A8618A8" w14:textId="77777777" w:rsidR="00AC33E0" w:rsidRPr="00D477CF" w:rsidRDefault="00AC33E0" w:rsidP="00AC33E0">
            <w:pPr>
              <w:spacing w:after="0"/>
              <w:ind w:right="-46"/>
              <w:rPr>
                <w:rFonts w:cs="Arial"/>
                <w:b/>
                <w:bCs/>
              </w:rPr>
            </w:pPr>
          </w:p>
        </w:tc>
        <w:tc>
          <w:tcPr>
            <w:tcW w:w="3017" w:type="dxa"/>
            <w:vAlign w:val="center"/>
          </w:tcPr>
          <w:p w14:paraId="156CBB34" w14:textId="77777777" w:rsidR="00AC33E0" w:rsidRPr="00D477CF" w:rsidRDefault="00AC33E0" w:rsidP="00AC33E0">
            <w:pPr>
              <w:spacing w:after="0"/>
              <w:ind w:right="-46"/>
              <w:jc w:val="center"/>
              <w:rPr>
                <w:rFonts w:cs="Arial"/>
                <w:b/>
                <w:bCs/>
              </w:rPr>
            </w:pPr>
            <w:r>
              <w:rPr>
                <w:rFonts w:cs="Arial"/>
                <w:b/>
                <w:bCs/>
              </w:rPr>
              <w:t>11</w:t>
            </w:r>
          </w:p>
        </w:tc>
      </w:tr>
      <w:tr w:rsidR="0093099B" w14:paraId="73428D77" w14:textId="77777777" w:rsidTr="00AC33E0">
        <w:tc>
          <w:tcPr>
            <w:tcW w:w="562" w:type="dxa"/>
            <w:vAlign w:val="center"/>
          </w:tcPr>
          <w:p w14:paraId="1907C853" w14:textId="77777777" w:rsidR="00AC33E0" w:rsidRPr="00D477CF" w:rsidRDefault="00AC33E0" w:rsidP="00AC33E0">
            <w:pPr>
              <w:spacing w:after="0"/>
              <w:ind w:right="-46"/>
              <w:jc w:val="center"/>
              <w:rPr>
                <w:rFonts w:cs="Arial"/>
                <w:b/>
                <w:bCs/>
              </w:rPr>
            </w:pPr>
            <w:r w:rsidRPr="00D477CF">
              <w:rPr>
                <w:rFonts w:cs="Arial"/>
                <w:b/>
                <w:bCs/>
              </w:rPr>
              <w:t>4</w:t>
            </w:r>
          </w:p>
        </w:tc>
        <w:tc>
          <w:tcPr>
            <w:tcW w:w="5437" w:type="dxa"/>
            <w:vAlign w:val="center"/>
          </w:tcPr>
          <w:p w14:paraId="5A9CD405" w14:textId="77777777" w:rsidR="00AC33E0" w:rsidRPr="00D477CF" w:rsidRDefault="00AC33E0" w:rsidP="00AC33E0">
            <w:pPr>
              <w:spacing w:after="0"/>
              <w:ind w:right="-46"/>
              <w:rPr>
                <w:rFonts w:cs="Arial"/>
                <w:b/>
                <w:bCs/>
              </w:rPr>
            </w:pPr>
          </w:p>
          <w:p w14:paraId="4D7EA2AD" w14:textId="77777777" w:rsidR="00AC33E0" w:rsidRPr="00D477CF" w:rsidRDefault="00AC33E0" w:rsidP="00AC33E0">
            <w:pPr>
              <w:spacing w:after="0"/>
              <w:ind w:right="-46"/>
              <w:rPr>
                <w:rFonts w:cs="Arial"/>
                <w:b/>
                <w:bCs/>
              </w:rPr>
            </w:pPr>
            <w:r w:rsidRPr="00D477CF">
              <w:rPr>
                <w:rFonts w:cs="Arial"/>
                <w:b/>
                <w:bCs/>
              </w:rPr>
              <w:t>Reserves</w:t>
            </w:r>
          </w:p>
          <w:p w14:paraId="0E339F0B" w14:textId="77777777" w:rsidR="00AC33E0" w:rsidRPr="00D477CF" w:rsidRDefault="00AC33E0" w:rsidP="00AC33E0">
            <w:pPr>
              <w:spacing w:after="0"/>
              <w:ind w:right="-46"/>
              <w:rPr>
                <w:rFonts w:cs="Arial"/>
                <w:b/>
                <w:bCs/>
              </w:rPr>
            </w:pPr>
          </w:p>
        </w:tc>
        <w:tc>
          <w:tcPr>
            <w:tcW w:w="3017" w:type="dxa"/>
            <w:vAlign w:val="center"/>
          </w:tcPr>
          <w:p w14:paraId="6D691474" w14:textId="77777777" w:rsidR="00AC33E0" w:rsidRPr="00D477CF" w:rsidRDefault="00AC33E0" w:rsidP="00AC33E0">
            <w:pPr>
              <w:spacing w:after="0"/>
              <w:ind w:right="-46"/>
              <w:jc w:val="center"/>
              <w:rPr>
                <w:rFonts w:cs="Arial"/>
                <w:b/>
                <w:bCs/>
              </w:rPr>
            </w:pPr>
            <w:r>
              <w:rPr>
                <w:rFonts w:cs="Arial"/>
                <w:b/>
                <w:bCs/>
              </w:rPr>
              <w:t>16</w:t>
            </w:r>
          </w:p>
        </w:tc>
      </w:tr>
      <w:tr w:rsidR="0093099B" w14:paraId="5052ADD6" w14:textId="77777777" w:rsidTr="00AC33E0">
        <w:tc>
          <w:tcPr>
            <w:tcW w:w="562" w:type="dxa"/>
            <w:vAlign w:val="center"/>
          </w:tcPr>
          <w:p w14:paraId="5B39FAA6" w14:textId="77777777" w:rsidR="00AC33E0" w:rsidRPr="00D477CF" w:rsidRDefault="00AC33E0" w:rsidP="00AC33E0">
            <w:pPr>
              <w:spacing w:after="0"/>
              <w:ind w:right="-46"/>
              <w:jc w:val="center"/>
              <w:rPr>
                <w:rFonts w:cs="Arial"/>
                <w:b/>
                <w:bCs/>
              </w:rPr>
            </w:pPr>
          </w:p>
          <w:p w14:paraId="5A51AC36" w14:textId="77777777" w:rsidR="00AC33E0" w:rsidRPr="00D477CF" w:rsidRDefault="00AC33E0" w:rsidP="00AC33E0">
            <w:pPr>
              <w:spacing w:after="0"/>
              <w:ind w:right="-46"/>
              <w:jc w:val="center"/>
              <w:rPr>
                <w:rFonts w:cs="Arial"/>
                <w:b/>
                <w:bCs/>
              </w:rPr>
            </w:pPr>
            <w:r w:rsidRPr="00D477CF">
              <w:rPr>
                <w:rFonts w:cs="Arial"/>
                <w:b/>
                <w:bCs/>
              </w:rPr>
              <w:t>5</w:t>
            </w:r>
          </w:p>
          <w:p w14:paraId="0A4881C4" w14:textId="77777777" w:rsidR="00AC33E0" w:rsidRPr="00D477CF" w:rsidRDefault="00AC33E0" w:rsidP="00AC33E0">
            <w:pPr>
              <w:spacing w:after="0"/>
              <w:ind w:right="-46"/>
              <w:jc w:val="center"/>
              <w:rPr>
                <w:rFonts w:cs="Arial"/>
                <w:b/>
                <w:bCs/>
              </w:rPr>
            </w:pPr>
          </w:p>
        </w:tc>
        <w:tc>
          <w:tcPr>
            <w:tcW w:w="5437" w:type="dxa"/>
            <w:vAlign w:val="center"/>
          </w:tcPr>
          <w:p w14:paraId="1AA6F022" w14:textId="77777777" w:rsidR="00AC33E0" w:rsidRPr="00D477CF" w:rsidRDefault="00AC33E0" w:rsidP="00AC33E0">
            <w:pPr>
              <w:spacing w:after="0"/>
              <w:ind w:right="-46"/>
              <w:rPr>
                <w:rFonts w:cs="Arial"/>
                <w:b/>
                <w:bCs/>
              </w:rPr>
            </w:pPr>
            <w:r w:rsidRPr="00D477CF">
              <w:rPr>
                <w:rFonts w:cs="Arial"/>
                <w:b/>
                <w:bCs/>
              </w:rPr>
              <w:t>Future Risks and Opportunities</w:t>
            </w:r>
          </w:p>
        </w:tc>
        <w:tc>
          <w:tcPr>
            <w:tcW w:w="3017" w:type="dxa"/>
            <w:vAlign w:val="center"/>
          </w:tcPr>
          <w:p w14:paraId="1156F71C" w14:textId="77777777" w:rsidR="00AC33E0" w:rsidRPr="00D477CF" w:rsidRDefault="00AC33E0" w:rsidP="00AC33E0">
            <w:pPr>
              <w:spacing w:after="0"/>
              <w:ind w:right="-46"/>
              <w:jc w:val="center"/>
              <w:rPr>
                <w:rFonts w:cs="Arial"/>
                <w:b/>
                <w:bCs/>
              </w:rPr>
            </w:pPr>
            <w:r>
              <w:rPr>
                <w:rFonts w:cs="Arial"/>
                <w:b/>
                <w:bCs/>
              </w:rPr>
              <w:t>18</w:t>
            </w:r>
          </w:p>
        </w:tc>
      </w:tr>
    </w:tbl>
    <w:p w14:paraId="0EE3BB38" w14:textId="77777777" w:rsidR="00AC33E0" w:rsidRPr="00D477CF" w:rsidRDefault="00AC33E0" w:rsidP="00AC33E0">
      <w:pPr>
        <w:spacing w:after="0"/>
        <w:ind w:right="-46"/>
        <w:rPr>
          <w:rFonts w:cs="Arial"/>
          <w:b/>
          <w:bCs/>
        </w:rPr>
      </w:pPr>
    </w:p>
    <w:p w14:paraId="519209F7" w14:textId="77777777" w:rsidR="00AC33E0" w:rsidRPr="009C69DC" w:rsidRDefault="00AC33E0">
      <w:pPr>
        <w:autoSpaceDE/>
        <w:autoSpaceDN/>
        <w:adjustRightInd/>
        <w:spacing w:after="0"/>
        <w:jc w:val="left"/>
        <w:rPr>
          <w:rFonts w:cs="Arial"/>
          <w:b/>
          <w:highlight w:val="yellow"/>
        </w:rPr>
      </w:pPr>
      <w:r w:rsidRPr="009C69DC">
        <w:rPr>
          <w:rFonts w:cs="Arial"/>
          <w:b/>
          <w:highlight w:val="yellow"/>
        </w:rPr>
        <w:br w:type="page"/>
      </w:r>
    </w:p>
    <w:p w14:paraId="6A953287" w14:textId="77777777" w:rsidR="00AC33E0" w:rsidRDefault="00AC33E0" w:rsidP="00AC33E0">
      <w:pPr>
        <w:pStyle w:val="ListParagraph"/>
        <w:numPr>
          <w:ilvl w:val="0"/>
          <w:numId w:val="25"/>
        </w:numPr>
        <w:spacing w:after="0"/>
        <w:ind w:left="567" w:hanging="567"/>
        <w:rPr>
          <w:rFonts w:cs="Arial"/>
          <w:b/>
        </w:rPr>
      </w:pPr>
      <w:r w:rsidRPr="009C69DC">
        <w:rPr>
          <w:rFonts w:cs="Arial"/>
          <w:b/>
        </w:rPr>
        <w:lastRenderedPageBreak/>
        <w:t>Executive Summary</w:t>
      </w:r>
    </w:p>
    <w:p w14:paraId="78C05129" w14:textId="77777777" w:rsidR="00AC33E0" w:rsidRPr="0025454A" w:rsidRDefault="00AC33E0" w:rsidP="00AC33E0">
      <w:pPr>
        <w:pStyle w:val="ListParagraph"/>
        <w:spacing w:after="0"/>
        <w:ind w:left="567"/>
        <w:rPr>
          <w:rFonts w:cs="Arial"/>
          <w:b/>
        </w:rPr>
      </w:pPr>
    </w:p>
    <w:p w14:paraId="04F69639" w14:textId="4C3FE60F" w:rsidR="00AC33E0" w:rsidRDefault="00AC33E0" w:rsidP="00AC33E0">
      <w:pPr>
        <w:tabs>
          <w:tab w:val="left" w:pos="567"/>
          <w:tab w:val="left" w:pos="1134"/>
        </w:tabs>
        <w:spacing w:after="0"/>
        <w:rPr>
          <w:rFonts w:cs="Arial"/>
        </w:rPr>
      </w:pPr>
      <w:r w:rsidRPr="009C69DC">
        <w:rPr>
          <w:rFonts w:cs="Arial"/>
        </w:rPr>
        <w:t xml:space="preserve">At </w:t>
      </w:r>
      <w:r>
        <w:rPr>
          <w:rFonts w:cs="Arial"/>
        </w:rPr>
        <w:t>full council</w:t>
      </w:r>
      <w:r w:rsidRPr="009C69DC">
        <w:rPr>
          <w:rFonts w:cs="Arial"/>
        </w:rPr>
        <w:t xml:space="preserve"> in February 2019 the medium term financial strategy (MTFS) set out a </w:t>
      </w:r>
      <w:r w:rsidRPr="003A675D">
        <w:rPr>
          <w:rFonts w:cs="Arial"/>
        </w:rPr>
        <w:t>forecast funding gap of £47.326m by the end of the 4 year period (2019/20 – 2022/23).</w:t>
      </w:r>
      <w:r w:rsidR="00A86CDA">
        <w:rPr>
          <w:rFonts w:cs="Arial"/>
        </w:rPr>
        <w:t xml:space="preserve"> </w:t>
      </w:r>
    </w:p>
    <w:p w14:paraId="02EDB3CB" w14:textId="77777777" w:rsidR="00AC33E0" w:rsidRDefault="00AC33E0" w:rsidP="00AC33E0">
      <w:pPr>
        <w:tabs>
          <w:tab w:val="left" w:pos="567"/>
          <w:tab w:val="left" w:pos="1134"/>
        </w:tabs>
        <w:spacing w:after="0"/>
        <w:rPr>
          <w:rFonts w:cs="Arial"/>
        </w:rPr>
      </w:pPr>
    </w:p>
    <w:p w14:paraId="7417373A" w14:textId="07C1DF93" w:rsidR="00AC33E0" w:rsidRDefault="00AC33E0" w:rsidP="00AC33E0">
      <w:pPr>
        <w:tabs>
          <w:tab w:val="left" w:pos="567"/>
          <w:tab w:val="left" w:pos="1134"/>
        </w:tabs>
        <w:spacing w:after="0"/>
        <w:rPr>
          <w:rFonts w:cs="Arial"/>
        </w:rPr>
      </w:pPr>
      <w:r>
        <w:rPr>
          <w:rFonts w:cs="Arial"/>
        </w:rPr>
        <w:t xml:space="preserve">This report provides an updated position covering the 2020/21 – 2022/23 financial years. This MTFS covers a 3 year period rather than the previously reported 4 year period due to the ongoing and unprecedented uncertainty in relation to future local government funding and to enable a direct comparison with the </w:t>
      </w:r>
      <w:r w:rsidR="004D5B8D">
        <w:rPr>
          <w:rFonts w:cs="Arial"/>
        </w:rPr>
        <w:t xml:space="preserve">previously reported position. </w:t>
      </w:r>
      <w:bookmarkStart w:id="0" w:name="_GoBack"/>
      <w:bookmarkEnd w:id="0"/>
      <w:r>
        <w:rPr>
          <w:rFonts w:cs="Arial"/>
        </w:rPr>
        <w:t xml:space="preserve">There are a significant number of variables leading to a range of different funding scenarios being explored, but without any clarity having been provided at this point in time it is difficult to settle on a central or realistic scenario.   A review of assumptions, relating to both income and expenditure, has been undertaken to reflect the most current information available. </w:t>
      </w:r>
    </w:p>
    <w:p w14:paraId="39AEAD06" w14:textId="77777777" w:rsidR="00AC33E0" w:rsidRPr="009C69DC" w:rsidRDefault="00AC33E0" w:rsidP="00AC33E0">
      <w:pPr>
        <w:tabs>
          <w:tab w:val="left" w:pos="567"/>
          <w:tab w:val="left" w:pos="1134"/>
        </w:tabs>
        <w:spacing w:after="0"/>
        <w:rPr>
          <w:rFonts w:cs="Arial"/>
          <w:highlight w:val="yellow"/>
        </w:rPr>
      </w:pPr>
    </w:p>
    <w:p w14:paraId="7D30A0CF" w14:textId="77777777" w:rsidR="00AC33E0" w:rsidRDefault="00AC33E0" w:rsidP="00AC33E0">
      <w:pPr>
        <w:tabs>
          <w:tab w:val="left" w:pos="567"/>
          <w:tab w:val="left" w:pos="1134"/>
        </w:tabs>
        <w:spacing w:after="0"/>
        <w:rPr>
          <w:rFonts w:cs="Arial"/>
        </w:rPr>
      </w:pPr>
      <w:r w:rsidRPr="00B7666E">
        <w:rPr>
          <w:rFonts w:cs="Arial"/>
        </w:rPr>
        <w:t>The updated funding gap contained within the report h</w:t>
      </w:r>
      <w:r>
        <w:rPr>
          <w:rFonts w:cs="Arial"/>
        </w:rPr>
        <w:t>as increased to £64.755</w:t>
      </w:r>
      <w:r w:rsidRPr="00B7666E">
        <w:rPr>
          <w:rFonts w:cs="Arial"/>
        </w:rPr>
        <w:t>m by 202</w:t>
      </w:r>
      <w:r>
        <w:rPr>
          <w:rFonts w:cs="Arial"/>
        </w:rPr>
        <w:t>2/23 which is an increase of £17.429m from the previously reported position</w:t>
      </w:r>
      <w:r w:rsidRPr="00B7666E">
        <w:rPr>
          <w:rFonts w:cs="Arial"/>
        </w:rPr>
        <w:t>, however a reduced budget gap i</w:t>
      </w:r>
      <w:r>
        <w:rPr>
          <w:rFonts w:cs="Arial"/>
        </w:rPr>
        <w:t>s forecast for 2020/21 of £5.895</w:t>
      </w:r>
      <w:r w:rsidRPr="00B7666E">
        <w:rPr>
          <w:rFonts w:cs="Arial"/>
        </w:rPr>
        <w:t xml:space="preserve">m.  </w:t>
      </w:r>
      <w:r>
        <w:rPr>
          <w:rFonts w:cs="Arial"/>
        </w:rPr>
        <w:t>The main reasons for the changes to the position are as follows:</w:t>
      </w:r>
    </w:p>
    <w:p w14:paraId="4D96190A" w14:textId="77777777" w:rsidR="00AC33E0" w:rsidRDefault="00AC33E0" w:rsidP="00AC33E0">
      <w:pPr>
        <w:tabs>
          <w:tab w:val="left" w:pos="567"/>
          <w:tab w:val="left" w:pos="1134"/>
        </w:tabs>
        <w:spacing w:after="0"/>
        <w:rPr>
          <w:rFonts w:cs="Arial"/>
        </w:rPr>
      </w:pPr>
    </w:p>
    <w:p w14:paraId="124B6795" w14:textId="77777777" w:rsidR="00AC33E0" w:rsidRDefault="00AC33E0" w:rsidP="00AC33E0">
      <w:pPr>
        <w:pStyle w:val="ListParagraph"/>
        <w:numPr>
          <w:ilvl w:val="0"/>
          <w:numId w:val="44"/>
        </w:numPr>
        <w:tabs>
          <w:tab w:val="left" w:pos="567"/>
          <w:tab w:val="left" w:pos="1134"/>
        </w:tabs>
        <w:spacing w:after="0"/>
        <w:rPr>
          <w:rFonts w:cs="Arial"/>
        </w:rPr>
      </w:pPr>
      <w:r>
        <w:rPr>
          <w:rFonts w:cs="Arial"/>
        </w:rPr>
        <w:t xml:space="preserve">Increased funding expectations in 2020/21. The previous MTFS position had assumed revenue support grant (RSG) would end in 2019/20, however the likelihood of a one year settlement and roll forward budget in 2020/21 has led to an assumption that RSG will be included within the baseline funding level for 2020/21. This position has been recommended by CIPFA and other professional advisers but has not been categorically confirmed by the government.  </w:t>
      </w:r>
    </w:p>
    <w:p w14:paraId="71D17586" w14:textId="77777777" w:rsidR="00AC33E0" w:rsidRDefault="00AC33E0" w:rsidP="00AC33E0">
      <w:pPr>
        <w:pStyle w:val="ListParagraph"/>
        <w:numPr>
          <w:ilvl w:val="0"/>
          <w:numId w:val="44"/>
        </w:numPr>
        <w:tabs>
          <w:tab w:val="left" w:pos="567"/>
          <w:tab w:val="left" w:pos="1134"/>
        </w:tabs>
        <w:spacing w:after="0"/>
        <w:rPr>
          <w:rFonts w:cs="Arial"/>
        </w:rPr>
      </w:pPr>
      <w:r>
        <w:rPr>
          <w:rFonts w:cs="Arial"/>
        </w:rPr>
        <w:t xml:space="preserve">Staff salary inflation has been changed from the previous 1% to 2% annual increases.  This has increased the financial gap by c£3.5m per annum and £11.378m over the 3 year period, and is therefore the most significant contributory factor to the increased forecast gap. </w:t>
      </w:r>
    </w:p>
    <w:p w14:paraId="0B9690F1" w14:textId="4BA5908B" w:rsidR="00AC33E0" w:rsidRPr="004177E4" w:rsidRDefault="00F11222" w:rsidP="00AC33E0">
      <w:pPr>
        <w:pStyle w:val="ListParagraph"/>
        <w:numPr>
          <w:ilvl w:val="0"/>
          <w:numId w:val="44"/>
        </w:numPr>
        <w:tabs>
          <w:tab w:val="left" w:pos="567"/>
          <w:tab w:val="left" w:pos="1134"/>
        </w:tabs>
        <w:spacing w:after="0"/>
        <w:rPr>
          <w:rFonts w:cs="Arial"/>
        </w:rPr>
      </w:pPr>
      <w:r>
        <w:rPr>
          <w:rFonts w:cs="Arial"/>
        </w:rPr>
        <w:t xml:space="preserve">Service demand and volume changes and inflation and cost changes have increased costs by a net sum of £1.256m.  This is primarily the outcome </w:t>
      </w:r>
      <w:r w:rsidR="004177E4">
        <w:rPr>
          <w:rFonts w:cs="Arial"/>
        </w:rPr>
        <w:t xml:space="preserve">of </w:t>
      </w:r>
      <w:r w:rsidR="004177E4" w:rsidRPr="004177E4">
        <w:rPr>
          <w:rFonts w:cs="Arial"/>
        </w:rPr>
        <w:t>increases</w:t>
      </w:r>
      <w:r w:rsidR="00AC33E0" w:rsidRPr="004177E4">
        <w:rPr>
          <w:rFonts w:cs="Arial"/>
        </w:rPr>
        <w:t xml:space="preserve"> in the levels of demand across services such as children's social care</w:t>
      </w:r>
      <w:r w:rsidRPr="004177E4">
        <w:rPr>
          <w:rFonts w:cs="Arial"/>
        </w:rPr>
        <w:t xml:space="preserve"> and</w:t>
      </w:r>
      <w:r w:rsidR="005E280D" w:rsidRPr="004177E4">
        <w:rPr>
          <w:rFonts w:cs="Arial"/>
        </w:rPr>
        <w:t xml:space="preserve"> </w:t>
      </w:r>
      <w:r w:rsidR="00AC33E0" w:rsidRPr="004177E4">
        <w:rPr>
          <w:rFonts w:cs="Arial"/>
        </w:rPr>
        <w:t>transport</w:t>
      </w:r>
      <w:r w:rsidRPr="004177E4">
        <w:rPr>
          <w:rFonts w:cs="Arial"/>
        </w:rPr>
        <w:t>,</w:t>
      </w:r>
      <w:r w:rsidR="00AC33E0" w:rsidRPr="004177E4">
        <w:rPr>
          <w:rFonts w:cs="Arial"/>
        </w:rPr>
        <w:t xml:space="preserve"> </w:t>
      </w:r>
      <w:r w:rsidRPr="004177E4">
        <w:rPr>
          <w:rFonts w:cs="Arial"/>
        </w:rPr>
        <w:t xml:space="preserve">offset by </w:t>
      </w:r>
      <w:r w:rsidR="00C23724" w:rsidRPr="004177E4">
        <w:rPr>
          <w:rFonts w:cs="Arial"/>
        </w:rPr>
        <w:t xml:space="preserve">some </w:t>
      </w:r>
      <w:r w:rsidRPr="004177E4">
        <w:rPr>
          <w:rFonts w:cs="Arial"/>
        </w:rPr>
        <w:t xml:space="preserve">service cost adjustments due to changes to service configuration, particularly in relation to support service delivery models.   </w:t>
      </w:r>
    </w:p>
    <w:p w14:paraId="6B167585" w14:textId="3F4C5EFB" w:rsidR="00AC33E0" w:rsidRPr="004177E4" w:rsidRDefault="005E280D" w:rsidP="00AC33E0">
      <w:pPr>
        <w:pStyle w:val="ListParagraph"/>
        <w:numPr>
          <w:ilvl w:val="0"/>
          <w:numId w:val="44"/>
        </w:numPr>
        <w:tabs>
          <w:tab w:val="left" w:pos="567"/>
          <w:tab w:val="left" w:pos="1134"/>
        </w:tabs>
        <w:spacing w:after="0"/>
        <w:rPr>
          <w:rFonts w:cs="Arial"/>
        </w:rPr>
      </w:pPr>
      <w:r w:rsidRPr="004177E4">
        <w:rPr>
          <w:rFonts w:cs="Arial"/>
        </w:rPr>
        <w:t xml:space="preserve">Service cost adjustments </w:t>
      </w:r>
      <w:r w:rsidR="00624199" w:rsidRPr="004177E4">
        <w:rPr>
          <w:rFonts w:cs="Arial"/>
        </w:rPr>
        <w:t xml:space="preserve">of £3.483m </w:t>
      </w:r>
      <w:r w:rsidRPr="004177E4">
        <w:rPr>
          <w:rFonts w:cs="Arial"/>
        </w:rPr>
        <w:t>reflect</w:t>
      </w:r>
      <w:r w:rsidR="00624199" w:rsidRPr="004177E4">
        <w:rPr>
          <w:rFonts w:cs="Arial"/>
        </w:rPr>
        <w:t>ing</w:t>
      </w:r>
      <w:r w:rsidRPr="004177E4">
        <w:rPr>
          <w:rFonts w:cs="Arial"/>
        </w:rPr>
        <w:t xml:space="preserve"> u</w:t>
      </w:r>
      <w:r w:rsidR="00AC33E0" w:rsidRPr="004177E4">
        <w:rPr>
          <w:rFonts w:cs="Arial"/>
        </w:rPr>
        <w:t>ndeliverable savings pressures</w:t>
      </w:r>
      <w:r w:rsidR="00624199" w:rsidRPr="004177E4">
        <w:rPr>
          <w:rFonts w:cs="Arial"/>
        </w:rPr>
        <w:t xml:space="preserve">.  </w:t>
      </w:r>
    </w:p>
    <w:p w14:paraId="6FE49AEC" w14:textId="77777777" w:rsidR="00624199" w:rsidRPr="00624199" w:rsidRDefault="00624199" w:rsidP="00624199">
      <w:pPr>
        <w:pStyle w:val="ListParagraph"/>
        <w:tabs>
          <w:tab w:val="left" w:pos="567"/>
          <w:tab w:val="left" w:pos="1134"/>
        </w:tabs>
        <w:spacing w:after="0"/>
        <w:ind w:left="927"/>
        <w:rPr>
          <w:rFonts w:cs="Arial"/>
          <w:highlight w:val="yellow"/>
        </w:rPr>
      </w:pPr>
    </w:p>
    <w:p w14:paraId="57A76421" w14:textId="2D32B435" w:rsidR="00AC33E0" w:rsidRPr="009C69DC" w:rsidRDefault="00AC33E0" w:rsidP="00AC33E0">
      <w:pPr>
        <w:tabs>
          <w:tab w:val="left" w:pos="567"/>
          <w:tab w:val="left" w:pos="1134"/>
        </w:tabs>
        <w:spacing w:after="0"/>
        <w:rPr>
          <w:rFonts w:cs="Arial"/>
          <w:highlight w:val="yellow"/>
        </w:rPr>
      </w:pPr>
      <w:r w:rsidRPr="00B7666E">
        <w:rPr>
          <w:rFonts w:cs="Arial"/>
        </w:rPr>
        <w:t xml:space="preserve">Although the forecast funding gap in 2020/21 has reduced, the position still </w:t>
      </w:r>
      <w:r w:rsidR="005E280D">
        <w:rPr>
          <w:rFonts w:cs="Arial"/>
        </w:rPr>
        <w:t xml:space="preserve">reflects </w:t>
      </w:r>
      <w:r w:rsidRPr="00B7666E">
        <w:rPr>
          <w:rFonts w:cs="Arial"/>
        </w:rPr>
        <w:t>a shortfall wi</w:t>
      </w:r>
      <w:r>
        <w:rPr>
          <w:rFonts w:cs="Arial"/>
        </w:rPr>
        <w:t>th a revised gap over the next 3</w:t>
      </w:r>
      <w:r w:rsidRPr="00B7666E">
        <w:rPr>
          <w:rFonts w:cs="Arial"/>
        </w:rPr>
        <w:t xml:space="preserve"> years of £</w:t>
      </w:r>
      <w:r>
        <w:rPr>
          <w:rFonts w:cs="Arial"/>
        </w:rPr>
        <w:t>64.755m</w:t>
      </w:r>
      <w:r w:rsidRPr="00B7666E">
        <w:rPr>
          <w:rFonts w:cs="Arial"/>
        </w:rPr>
        <w:t>, which varies ov</w:t>
      </w:r>
      <w:r>
        <w:rPr>
          <w:rFonts w:cs="Arial"/>
        </w:rPr>
        <w:t>er each of the 3</w:t>
      </w:r>
      <w:r w:rsidRPr="00B7666E">
        <w:rPr>
          <w:rFonts w:cs="Arial"/>
        </w:rPr>
        <w:t xml:space="preserve"> years shown in Table 1. </w:t>
      </w:r>
      <w:r>
        <w:rPr>
          <w:rFonts w:cs="Arial"/>
        </w:rPr>
        <w:t>Work is progressing on p</w:t>
      </w:r>
      <w:r w:rsidRPr="00DB4FFF">
        <w:rPr>
          <w:rFonts w:cs="Arial"/>
        </w:rPr>
        <w:t xml:space="preserve">hase two of the service challenge process </w:t>
      </w:r>
      <w:r>
        <w:rPr>
          <w:rFonts w:cs="Arial"/>
        </w:rPr>
        <w:t xml:space="preserve">which </w:t>
      </w:r>
      <w:r w:rsidRPr="00DB4FFF">
        <w:rPr>
          <w:rFonts w:cs="Arial"/>
        </w:rPr>
        <w:t xml:space="preserve">will seek to address the ongoing deficit </w:t>
      </w:r>
      <w:r>
        <w:rPr>
          <w:rFonts w:cs="Arial"/>
        </w:rPr>
        <w:t xml:space="preserve">and is </w:t>
      </w:r>
      <w:r w:rsidRPr="00DB4FFF">
        <w:rPr>
          <w:rFonts w:cs="Arial"/>
        </w:rPr>
        <w:t>focus</w:t>
      </w:r>
      <w:r>
        <w:rPr>
          <w:rFonts w:cs="Arial"/>
        </w:rPr>
        <w:t>ing</w:t>
      </w:r>
      <w:r w:rsidRPr="00DB4FFF">
        <w:rPr>
          <w:rFonts w:cs="Arial"/>
        </w:rPr>
        <w:t xml:space="preserve"> on a number of cross-cutting work</w:t>
      </w:r>
      <w:r>
        <w:rPr>
          <w:rFonts w:cs="Arial"/>
        </w:rPr>
        <w:t xml:space="preserve"> </w:t>
      </w:r>
      <w:r w:rsidRPr="00DB4FFF">
        <w:rPr>
          <w:rFonts w:cs="Arial"/>
        </w:rPr>
        <w:t>streams and areas for investigation and review identified in the initial phase</w:t>
      </w:r>
      <w:r>
        <w:rPr>
          <w:rFonts w:cs="Arial"/>
        </w:rPr>
        <w:t>,</w:t>
      </w:r>
      <w:r w:rsidRPr="00DB4FFF">
        <w:rPr>
          <w:rFonts w:cs="Arial"/>
        </w:rPr>
        <w:t xml:space="preserve"> but where further work is </w:t>
      </w:r>
      <w:r>
        <w:rPr>
          <w:rFonts w:cs="Arial"/>
        </w:rPr>
        <w:t xml:space="preserve">needed </w:t>
      </w:r>
      <w:r w:rsidRPr="00DB4FFF">
        <w:rPr>
          <w:rFonts w:cs="Arial"/>
        </w:rPr>
        <w:t xml:space="preserve">to </w:t>
      </w:r>
      <w:r>
        <w:rPr>
          <w:rFonts w:cs="Arial"/>
        </w:rPr>
        <w:t xml:space="preserve">robustly </w:t>
      </w:r>
      <w:r w:rsidRPr="00DB4FFF">
        <w:rPr>
          <w:rFonts w:cs="Arial"/>
        </w:rPr>
        <w:t xml:space="preserve">evidence </w:t>
      </w:r>
      <w:r>
        <w:rPr>
          <w:rFonts w:cs="Arial"/>
        </w:rPr>
        <w:t xml:space="preserve">the scale and form of </w:t>
      </w:r>
      <w:r w:rsidRPr="00DB4FFF">
        <w:rPr>
          <w:rFonts w:cs="Arial"/>
        </w:rPr>
        <w:t>proposal</w:t>
      </w:r>
      <w:r>
        <w:rPr>
          <w:rFonts w:cs="Arial"/>
        </w:rPr>
        <w:t>s</w:t>
      </w:r>
      <w:r w:rsidRPr="00DB4FFF">
        <w:rPr>
          <w:rFonts w:cs="Arial"/>
        </w:rPr>
        <w:t xml:space="preserve">.  </w:t>
      </w:r>
      <w:r w:rsidR="0077467F">
        <w:rPr>
          <w:rFonts w:cs="Arial"/>
        </w:rPr>
        <w:t xml:space="preserve">In particular, service challenge phase 2 is focused on the complex levers required to create an environment where service configuration and operational practice reflects best in class and supports demand management which is the single biggest driver on our costs. A separate report on this issue is included in </w:t>
      </w:r>
      <w:r w:rsidR="0077467F">
        <w:rPr>
          <w:rFonts w:cs="Arial"/>
        </w:rPr>
        <w:lastRenderedPageBreak/>
        <w:t>this cabinet's agenda and f</w:t>
      </w:r>
      <w:r w:rsidRPr="00DB4FFF">
        <w:rPr>
          <w:rFonts w:cs="Arial"/>
        </w:rPr>
        <w:t xml:space="preserve">urther saving proposals will come forward for consideration at future </w:t>
      </w:r>
      <w:r w:rsidR="007D0D5E">
        <w:rPr>
          <w:rFonts w:cs="Arial"/>
        </w:rPr>
        <w:t>c</w:t>
      </w:r>
      <w:r w:rsidRPr="00DB4FFF">
        <w:rPr>
          <w:rFonts w:cs="Arial"/>
        </w:rPr>
        <w:t xml:space="preserve">abinet meetings.  </w:t>
      </w:r>
    </w:p>
    <w:p w14:paraId="4BB926B8" w14:textId="77777777" w:rsidR="00AC33E0" w:rsidRPr="009C69DC" w:rsidRDefault="00AC33E0" w:rsidP="00AC33E0">
      <w:pPr>
        <w:tabs>
          <w:tab w:val="left" w:pos="567"/>
          <w:tab w:val="left" w:pos="1134"/>
        </w:tabs>
        <w:spacing w:after="0"/>
        <w:rPr>
          <w:rFonts w:cs="Arial"/>
          <w:highlight w:val="yellow"/>
        </w:rPr>
      </w:pPr>
    </w:p>
    <w:p w14:paraId="190F4DCB" w14:textId="3EE647C1" w:rsidR="00AC33E0" w:rsidRDefault="00AC33E0" w:rsidP="00AC33E0">
      <w:pPr>
        <w:autoSpaceDE/>
        <w:autoSpaceDN/>
        <w:adjustRightInd/>
        <w:spacing w:after="0"/>
        <w:textAlignment w:val="baseline"/>
        <w:rPr>
          <w:rFonts w:cs="Arial"/>
        </w:rPr>
      </w:pPr>
      <w:r w:rsidRPr="00F803EF">
        <w:rPr>
          <w:rFonts w:cs="Arial"/>
        </w:rPr>
        <w:t>The revised funding gap also makes assumptions about future funding levels and there remains significant uncertainty about this post 2019/20 with changes to be made in respect of business rates retention, the overall funding formula</w:t>
      </w:r>
      <w:r w:rsidR="0077467F">
        <w:rPr>
          <w:rFonts w:cs="Arial"/>
        </w:rPr>
        <w:t>,</w:t>
      </w:r>
      <w:r w:rsidRPr="00F803EF">
        <w:rPr>
          <w:rFonts w:cs="Arial"/>
        </w:rPr>
        <w:t xml:space="preserve"> the anticipated green paper on adult social care</w:t>
      </w:r>
      <w:r w:rsidR="0077467F">
        <w:rPr>
          <w:rFonts w:cs="Arial"/>
        </w:rPr>
        <w:t xml:space="preserve"> and</w:t>
      </w:r>
      <w:r w:rsidR="007D0D5E">
        <w:rPr>
          <w:rFonts w:cs="Arial"/>
        </w:rPr>
        <w:t>,</w:t>
      </w:r>
      <w:r w:rsidR="0077467F">
        <w:rPr>
          <w:rFonts w:cs="Arial"/>
        </w:rPr>
        <w:t xml:space="preserve"> of course</w:t>
      </w:r>
      <w:r w:rsidR="007D0D5E">
        <w:rPr>
          <w:rFonts w:cs="Arial"/>
        </w:rPr>
        <w:t>,</w:t>
      </w:r>
      <w:r w:rsidR="0077467F">
        <w:rPr>
          <w:rFonts w:cs="Arial"/>
        </w:rPr>
        <w:t xml:space="preserve"> any government spending review</w:t>
      </w:r>
      <w:r w:rsidRPr="00F803EF">
        <w:rPr>
          <w:rFonts w:cs="Arial"/>
        </w:rPr>
        <w:t xml:space="preserve">. </w:t>
      </w:r>
    </w:p>
    <w:p w14:paraId="7B281C44" w14:textId="77777777" w:rsidR="00AC33E0" w:rsidRPr="00F803EF" w:rsidRDefault="00AC33E0" w:rsidP="00AC33E0">
      <w:pPr>
        <w:autoSpaceDE/>
        <w:autoSpaceDN/>
        <w:adjustRightInd/>
        <w:spacing w:after="0"/>
        <w:textAlignment w:val="baseline"/>
        <w:rPr>
          <w:rFonts w:cs="Arial"/>
        </w:rPr>
      </w:pPr>
    </w:p>
    <w:p w14:paraId="4CD14D65" w14:textId="5495747C" w:rsidR="00AC33E0" w:rsidRPr="009C69DC" w:rsidRDefault="00AC33E0" w:rsidP="00AC33E0">
      <w:pPr>
        <w:tabs>
          <w:tab w:val="left" w:pos="567"/>
          <w:tab w:val="left" w:pos="1134"/>
        </w:tabs>
        <w:spacing w:after="0"/>
        <w:rPr>
          <w:rFonts w:cs="Arial"/>
          <w:highlight w:val="yellow"/>
        </w:rPr>
      </w:pPr>
      <w:r w:rsidRPr="00F803EF">
        <w:rPr>
          <w:rFonts w:cs="Arial"/>
        </w:rPr>
        <w:t xml:space="preserve">The value of the uncommitted transitional reserve is currently forecast to be sufficient to meet the identified funding gaps </w:t>
      </w:r>
      <w:r w:rsidRPr="00783039">
        <w:rPr>
          <w:rFonts w:cs="Arial"/>
        </w:rPr>
        <w:t>through to 2022/23</w:t>
      </w:r>
      <w:r w:rsidR="0077467F">
        <w:rPr>
          <w:rFonts w:cs="Arial"/>
        </w:rPr>
        <w:t>, which provides time to address the structural deficit in a considered and sustainable way</w:t>
      </w:r>
      <w:r w:rsidRPr="00783039">
        <w:rPr>
          <w:rFonts w:cs="Arial"/>
        </w:rPr>
        <w:t xml:space="preserve">. </w:t>
      </w:r>
      <w:r w:rsidR="0077467F">
        <w:rPr>
          <w:rFonts w:cs="Arial"/>
        </w:rPr>
        <w:t>T</w:t>
      </w:r>
      <w:r w:rsidRPr="00783039">
        <w:rPr>
          <w:rFonts w:cs="Arial"/>
        </w:rPr>
        <w:t xml:space="preserve">he intention </w:t>
      </w:r>
      <w:r w:rsidR="0077467F">
        <w:rPr>
          <w:rFonts w:cs="Arial"/>
        </w:rPr>
        <w:t xml:space="preserve">remains </w:t>
      </w:r>
      <w:r w:rsidRPr="00783039">
        <w:rPr>
          <w:rFonts w:cs="Arial"/>
        </w:rPr>
        <w:t xml:space="preserve">to identify </w:t>
      </w:r>
      <w:r w:rsidR="0077467F">
        <w:rPr>
          <w:rFonts w:cs="Arial"/>
        </w:rPr>
        <w:t>continued</w:t>
      </w:r>
      <w:r w:rsidR="0077467F" w:rsidRPr="00783039">
        <w:rPr>
          <w:rFonts w:cs="Arial"/>
        </w:rPr>
        <w:t xml:space="preserve"> </w:t>
      </w:r>
      <w:r w:rsidRPr="00783039">
        <w:rPr>
          <w:rFonts w:cs="Arial"/>
        </w:rPr>
        <w:t>savings and reduce the call on the</w:t>
      </w:r>
      <w:r w:rsidRPr="00F803EF">
        <w:rPr>
          <w:rFonts w:cs="Arial"/>
        </w:rPr>
        <w:t xml:space="preserve"> transitional reserve, for 2020/21 and beyond.  </w:t>
      </w:r>
    </w:p>
    <w:p w14:paraId="1492FCBA" w14:textId="77777777" w:rsidR="00AC33E0" w:rsidRPr="009C69DC" w:rsidRDefault="00AC33E0" w:rsidP="00AC33E0">
      <w:pPr>
        <w:tabs>
          <w:tab w:val="left" w:pos="567"/>
          <w:tab w:val="left" w:pos="1134"/>
        </w:tabs>
        <w:spacing w:after="0"/>
        <w:rPr>
          <w:rFonts w:cs="Arial"/>
          <w:highlight w:val="yellow"/>
        </w:rPr>
      </w:pPr>
    </w:p>
    <w:p w14:paraId="65F627A9" w14:textId="77777777" w:rsidR="00AC33E0" w:rsidRDefault="00AC33E0" w:rsidP="00AC33E0">
      <w:pPr>
        <w:spacing w:after="0"/>
        <w:rPr>
          <w:rFonts w:cs="Arial"/>
        </w:rPr>
      </w:pPr>
      <w:r w:rsidRPr="00F803EF">
        <w:rPr>
          <w:rFonts w:cs="Arial"/>
        </w:rPr>
        <w:t>The table on page 4 provides a detailed analysis of movements between the previously reported financial gap and the revised financial gap:</w:t>
      </w:r>
    </w:p>
    <w:p w14:paraId="2F5C7229" w14:textId="77777777" w:rsidR="00AC33E0" w:rsidRDefault="00AC33E0" w:rsidP="00AC33E0">
      <w:pPr>
        <w:spacing w:after="0"/>
        <w:rPr>
          <w:rFonts w:cs="Arial"/>
        </w:rPr>
      </w:pPr>
    </w:p>
    <w:p w14:paraId="08945ABA" w14:textId="77777777" w:rsidR="00AC33E0" w:rsidRDefault="00AC33E0" w:rsidP="00AC33E0">
      <w:pPr>
        <w:spacing w:after="0"/>
        <w:rPr>
          <w:rFonts w:cs="Arial"/>
        </w:rPr>
      </w:pPr>
    </w:p>
    <w:p w14:paraId="3E693E27" w14:textId="77777777" w:rsidR="00AC33E0" w:rsidRDefault="00AC33E0" w:rsidP="00AC33E0">
      <w:pPr>
        <w:spacing w:after="0"/>
        <w:rPr>
          <w:rFonts w:cs="Arial"/>
        </w:rPr>
      </w:pPr>
    </w:p>
    <w:p w14:paraId="66823AED" w14:textId="77777777" w:rsidR="00AC33E0" w:rsidRDefault="00AC33E0" w:rsidP="00AC33E0">
      <w:pPr>
        <w:spacing w:after="0"/>
        <w:rPr>
          <w:rFonts w:cs="Arial"/>
        </w:rPr>
      </w:pPr>
    </w:p>
    <w:p w14:paraId="2D1B915B" w14:textId="77777777" w:rsidR="00AC33E0" w:rsidRDefault="00AC33E0" w:rsidP="00AC33E0">
      <w:pPr>
        <w:spacing w:after="0"/>
        <w:rPr>
          <w:rFonts w:cs="Arial"/>
        </w:rPr>
      </w:pPr>
    </w:p>
    <w:p w14:paraId="15A4222F" w14:textId="77777777" w:rsidR="00AC33E0" w:rsidRDefault="00AC33E0" w:rsidP="00AC33E0">
      <w:pPr>
        <w:spacing w:after="0"/>
        <w:rPr>
          <w:rFonts w:cs="Arial"/>
        </w:rPr>
      </w:pPr>
    </w:p>
    <w:p w14:paraId="54C01B8C" w14:textId="77777777" w:rsidR="00AC33E0" w:rsidRDefault="00AC33E0" w:rsidP="00AC33E0">
      <w:pPr>
        <w:spacing w:after="0"/>
        <w:rPr>
          <w:rFonts w:cs="Arial"/>
        </w:rPr>
      </w:pPr>
    </w:p>
    <w:p w14:paraId="68EDA5B8" w14:textId="77777777" w:rsidR="00AC33E0" w:rsidRDefault="00AC33E0" w:rsidP="00AC33E0">
      <w:pPr>
        <w:spacing w:after="0"/>
        <w:rPr>
          <w:rFonts w:cs="Arial"/>
        </w:rPr>
      </w:pPr>
    </w:p>
    <w:p w14:paraId="7FFB7834" w14:textId="77777777" w:rsidR="00AC33E0" w:rsidRDefault="00AC33E0" w:rsidP="00AC33E0">
      <w:pPr>
        <w:spacing w:after="0"/>
        <w:rPr>
          <w:rFonts w:cs="Arial"/>
        </w:rPr>
      </w:pPr>
    </w:p>
    <w:p w14:paraId="6D3F6676" w14:textId="77777777" w:rsidR="00AC33E0" w:rsidRDefault="00AC33E0" w:rsidP="00AC33E0">
      <w:pPr>
        <w:spacing w:after="0"/>
        <w:rPr>
          <w:rFonts w:cs="Arial"/>
        </w:rPr>
      </w:pPr>
    </w:p>
    <w:p w14:paraId="344ABB92" w14:textId="77777777" w:rsidR="00AC33E0" w:rsidRDefault="00AC33E0" w:rsidP="00AC33E0">
      <w:pPr>
        <w:spacing w:after="0"/>
        <w:rPr>
          <w:rFonts w:cs="Arial"/>
        </w:rPr>
      </w:pPr>
    </w:p>
    <w:p w14:paraId="320AAFE0" w14:textId="77777777" w:rsidR="00AC33E0" w:rsidRDefault="00AC33E0" w:rsidP="00AC33E0">
      <w:pPr>
        <w:spacing w:after="0"/>
        <w:rPr>
          <w:rFonts w:cs="Arial"/>
        </w:rPr>
      </w:pPr>
    </w:p>
    <w:p w14:paraId="5F09E410" w14:textId="77777777" w:rsidR="00AC33E0" w:rsidRDefault="00AC33E0" w:rsidP="00AC33E0">
      <w:pPr>
        <w:spacing w:after="0"/>
        <w:rPr>
          <w:rFonts w:cs="Arial"/>
        </w:rPr>
      </w:pPr>
    </w:p>
    <w:p w14:paraId="197F22CA" w14:textId="77777777" w:rsidR="00AC33E0" w:rsidRDefault="00AC33E0" w:rsidP="00AC33E0">
      <w:pPr>
        <w:spacing w:after="0"/>
        <w:rPr>
          <w:rFonts w:cs="Arial"/>
        </w:rPr>
      </w:pPr>
    </w:p>
    <w:p w14:paraId="3D666537" w14:textId="77777777" w:rsidR="00AC33E0" w:rsidRDefault="00AC33E0" w:rsidP="00AC33E0">
      <w:pPr>
        <w:spacing w:after="0"/>
        <w:rPr>
          <w:rFonts w:cs="Arial"/>
        </w:rPr>
      </w:pPr>
    </w:p>
    <w:p w14:paraId="1C45D3E9" w14:textId="77777777" w:rsidR="00AC33E0" w:rsidRDefault="00AC33E0" w:rsidP="00AC33E0">
      <w:pPr>
        <w:spacing w:after="0"/>
        <w:rPr>
          <w:rFonts w:cs="Arial"/>
        </w:rPr>
      </w:pPr>
    </w:p>
    <w:p w14:paraId="3DDF5ED2" w14:textId="77777777" w:rsidR="00AC33E0" w:rsidRDefault="00AC33E0" w:rsidP="00AC33E0">
      <w:pPr>
        <w:spacing w:after="0"/>
        <w:rPr>
          <w:rFonts w:cs="Arial"/>
        </w:rPr>
      </w:pPr>
    </w:p>
    <w:p w14:paraId="3D457B93" w14:textId="77777777" w:rsidR="00AC33E0" w:rsidRDefault="00AC33E0" w:rsidP="00AC33E0">
      <w:pPr>
        <w:spacing w:after="0"/>
        <w:rPr>
          <w:rFonts w:cs="Arial"/>
        </w:rPr>
      </w:pPr>
    </w:p>
    <w:p w14:paraId="2DA295B6" w14:textId="77777777" w:rsidR="00AC33E0" w:rsidRDefault="00AC33E0" w:rsidP="00AC33E0">
      <w:pPr>
        <w:spacing w:after="0"/>
        <w:rPr>
          <w:rFonts w:cs="Arial"/>
        </w:rPr>
      </w:pPr>
    </w:p>
    <w:p w14:paraId="515642C1" w14:textId="77777777" w:rsidR="00AC33E0" w:rsidRDefault="00AC33E0" w:rsidP="00AC33E0">
      <w:pPr>
        <w:spacing w:after="0"/>
        <w:rPr>
          <w:rFonts w:cs="Arial"/>
        </w:rPr>
      </w:pPr>
    </w:p>
    <w:p w14:paraId="754BC592" w14:textId="77777777" w:rsidR="00AC33E0" w:rsidRDefault="00AC33E0" w:rsidP="00AC33E0">
      <w:pPr>
        <w:spacing w:after="0"/>
        <w:rPr>
          <w:rFonts w:cs="Arial"/>
        </w:rPr>
      </w:pPr>
    </w:p>
    <w:p w14:paraId="76E75B9C" w14:textId="77777777" w:rsidR="00AC33E0" w:rsidRDefault="00AC33E0" w:rsidP="00AC33E0">
      <w:pPr>
        <w:spacing w:after="0"/>
        <w:rPr>
          <w:rFonts w:cs="Arial"/>
        </w:rPr>
      </w:pPr>
    </w:p>
    <w:p w14:paraId="24B26D54" w14:textId="77777777" w:rsidR="00AC33E0" w:rsidRDefault="00AC33E0" w:rsidP="00AC33E0">
      <w:pPr>
        <w:spacing w:after="0"/>
        <w:rPr>
          <w:rFonts w:cs="Arial"/>
        </w:rPr>
      </w:pPr>
    </w:p>
    <w:p w14:paraId="6C18FA84" w14:textId="77777777" w:rsidR="00AC33E0" w:rsidRDefault="00AC33E0" w:rsidP="00AC33E0">
      <w:pPr>
        <w:spacing w:after="0"/>
        <w:rPr>
          <w:rFonts w:cs="Arial"/>
        </w:rPr>
      </w:pPr>
    </w:p>
    <w:p w14:paraId="154F9357" w14:textId="77777777" w:rsidR="00AC33E0" w:rsidRDefault="00AC33E0" w:rsidP="00AC33E0">
      <w:pPr>
        <w:spacing w:after="0"/>
        <w:rPr>
          <w:rFonts w:cs="Arial"/>
        </w:rPr>
      </w:pPr>
    </w:p>
    <w:p w14:paraId="28D42DF9" w14:textId="77777777" w:rsidR="00AC33E0" w:rsidRDefault="00AC33E0" w:rsidP="00AC33E0">
      <w:pPr>
        <w:spacing w:after="0"/>
        <w:rPr>
          <w:rFonts w:cs="Arial"/>
        </w:rPr>
      </w:pPr>
    </w:p>
    <w:p w14:paraId="6EF47A3A" w14:textId="77777777" w:rsidR="00AC33E0" w:rsidRDefault="00AC33E0" w:rsidP="00AC33E0">
      <w:pPr>
        <w:spacing w:after="0"/>
        <w:rPr>
          <w:rFonts w:cs="Arial"/>
        </w:rPr>
      </w:pPr>
    </w:p>
    <w:p w14:paraId="3401FBEE" w14:textId="77777777" w:rsidR="00AC33E0" w:rsidRDefault="00AC33E0" w:rsidP="00AC33E0">
      <w:pPr>
        <w:spacing w:after="0"/>
        <w:rPr>
          <w:rFonts w:cs="Arial"/>
        </w:rPr>
      </w:pPr>
    </w:p>
    <w:p w14:paraId="4B2AB2DA" w14:textId="77777777" w:rsidR="00AC33E0" w:rsidRDefault="00AC33E0" w:rsidP="00AC33E0">
      <w:pPr>
        <w:spacing w:after="0"/>
        <w:rPr>
          <w:rFonts w:cs="Arial"/>
        </w:rPr>
      </w:pPr>
    </w:p>
    <w:p w14:paraId="401C236C" w14:textId="77777777" w:rsidR="00AC33E0" w:rsidRDefault="00AC33E0" w:rsidP="00AC33E0">
      <w:pPr>
        <w:spacing w:after="0"/>
        <w:rPr>
          <w:rFonts w:cs="Arial"/>
        </w:rPr>
      </w:pPr>
    </w:p>
    <w:p w14:paraId="1287B1FD" w14:textId="77777777" w:rsidR="00AC33E0" w:rsidRDefault="00AC33E0" w:rsidP="00AC33E0">
      <w:pPr>
        <w:spacing w:after="0"/>
        <w:rPr>
          <w:rFonts w:cs="Arial"/>
        </w:rPr>
      </w:pPr>
    </w:p>
    <w:p w14:paraId="7AC402E2" w14:textId="77777777" w:rsidR="00AC33E0" w:rsidRDefault="00AC33E0" w:rsidP="00AC33E0">
      <w:pPr>
        <w:spacing w:after="0"/>
        <w:rPr>
          <w:rFonts w:cs="Arial"/>
        </w:rPr>
      </w:pPr>
    </w:p>
    <w:p w14:paraId="4CAF9F59" w14:textId="77777777" w:rsidR="00AC33E0" w:rsidRDefault="00AC33E0" w:rsidP="00AC33E0">
      <w:pPr>
        <w:spacing w:after="0"/>
        <w:rPr>
          <w:rFonts w:cs="Arial"/>
        </w:rPr>
      </w:pPr>
    </w:p>
    <w:p w14:paraId="0880EDEE" w14:textId="77777777" w:rsidR="00AC33E0" w:rsidRDefault="00AC33E0" w:rsidP="00AC33E0">
      <w:pPr>
        <w:spacing w:after="0"/>
        <w:rPr>
          <w:rFonts w:cs="Arial"/>
        </w:rPr>
      </w:pPr>
    </w:p>
    <w:p w14:paraId="2E07AFCC" w14:textId="77777777" w:rsidR="00624199" w:rsidRDefault="00624199" w:rsidP="00AC33E0">
      <w:pPr>
        <w:spacing w:after="0"/>
        <w:rPr>
          <w:rFonts w:cs="Arial"/>
        </w:rPr>
      </w:pPr>
    </w:p>
    <w:p w14:paraId="4935FD3F" w14:textId="20C1CF44" w:rsidR="00AC33E0" w:rsidRPr="00DB4FFF" w:rsidRDefault="00AC33E0" w:rsidP="00AC33E0">
      <w:pPr>
        <w:spacing w:after="0"/>
        <w:rPr>
          <w:rFonts w:cs="Arial"/>
        </w:rPr>
      </w:pPr>
      <w:r w:rsidRPr="00F803EF">
        <w:rPr>
          <w:rFonts w:cs="Arial"/>
          <w:b/>
          <w:i/>
          <w:u w:val="single"/>
        </w:rPr>
        <w:lastRenderedPageBreak/>
        <w:t>Table 1</w:t>
      </w:r>
    </w:p>
    <w:p w14:paraId="374147F5" w14:textId="77777777" w:rsidR="00AC33E0" w:rsidRDefault="00AC33E0" w:rsidP="00AC33E0">
      <w:pPr>
        <w:tabs>
          <w:tab w:val="left" w:pos="567"/>
          <w:tab w:val="left" w:pos="1134"/>
        </w:tabs>
        <w:spacing w:after="0"/>
        <w:rPr>
          <w:rFonts w:cs="Arial"/>
          <w:b/>
          <w:i/>
          <w:highlight w:val="yellow"/>
          <w:u w:val="single"/>
        </w:rPr>
      </w:pPr>
    </w:p>
    <w:tbl>
      <w:tblPr>
        <w:tblW w:w="9913" w:type="dxa"/>
        <w:tblLook w:val="04A0" w:firstRow="1" w:lastRow="0" w:firstColumn="1" w:lastColumn="0" w:noHBand="0" w:noVBand="1"/>
      </w:tblPr>
      <w:tblGrid>
        <w:gridCol w:w="3040"/>
        <w:gridCol w:w="1718"/>
        <w:gridCol w:w="1718"/>
        <w:gridCol w:w="1718"/>
        <w:gridCol w:w="1719"/>
      </w:tblGrid>
      <w:tr w:rsidR="0093099B" w14:paraId="72BCDF1C" w14:textId="77777777" w:rsidTr="00AC33E0">
        <w:trPr>
          <w:trHeight w:val="300"/>
        </w:trPr>
        <w:tc>
          <w:tcPr>
            <w:tcW w:w="3040" w:type="dxa"/>
            <w:tcBorders>
              <w:top w:val="single" w:sz="8" w:space="0" w:color="auto"/>
              <w:left w:val="single" w:sz="8" w:space="0" w:color="auto"/>
              <w:bottom w:val="nil"/>
              <w:right w:val="single" w:sz="8" w:space="0" w:color="auto"/>
            </w:tcBorders>
            <w:shd w:val="clear" w:color="000000" w:fill="BDD7EE"/>
            <w:hideMark/>
          </w:tcPr>
          <w:p w14:paraId="5E725553"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 </w:t>
            </w:r>
          </w:p>
        </w:tc>
        <w:tc>
          <w:tcPr>
            <w:tcW w:w="1718" w:type="dxa"/>
            <w:tcBorders>
              <w:top w:val="single" w:sz="8" w:space="0" w:color="auto"/>
              <w:left w:val="nil"/>
              <w:bottom w:val="nil"/>
              <w:right w:val="single" w:sz="8" w:space="0" w:color="auto"/>
            </w:tcBorders>
            <w:shd w:val="clear" w:color="000000" w:fill="BDD7EE"/>
            <w:vAlign w:val="center"/>
            <w:hideMark/>
          </w:tcPr>
          <w:p w14:paraId="63402A64"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2020/21</w:t>
            </w:r>
          </w:p>
        </w:tc>
        <w:tc>
          <w:tcPr>
            <w:tcW w:w="1718" w:type="dxa"/>
            <w:tcBorders>
              <w:top w:val="single" w:sz="8" w:space="0" w:color="auto"/>
              <w:left w:val="nil"/>
              <w:bottom w:val="nil"/>
              <w:right w:val="single" w:sz="8" w:space="0" w:color="auto"/>
            </w:tcBorders>
            <w:shd w:val="clear" w:color="000000" w:fill="BDD7EE"/>
            <w:vAlign w:val="center"/>
            <w:hideMark/>
          </w:tcPr>
          <w:p w14:paraId="2FA724FB"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2021/22</w:t>
            </w:r>
          </w:p>
        </w:tc>
        <w:tc>
          <w:tcPr>
            <w:tcW w:w="1718" w:type="dxa"/>
            <w:tcBorders>
              <w:top w:val="single" w:sz="8" w:space="0" w:color="auto"/>
              <w:left w:val="nil"/>
              <w:bottom w:val="nil"/>
              <w:right w:val="single" w:sz="8" w:space="0" w:color="auto"/>
            </w:tcBorders>
            <w:shd w:val="clear" w:color="000000" w:fill="BDD7EE"/>
            <w:vAlign w:val="center"/>
            <w:hideMark/>
          </w:tcPr>
          <w:p w14:paraId="3A42852E"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2022/23</w:t>
            </w:r>
          </w:p>
        </w:tc>
        <w:tc>
          <w:tcPr>
            <w:tcW w:w="1719" w:type="dxa"/>
            <w:tcBorders>
              <w:top w:val="single" w:sz="8" w:space="0" w:color="auto"/>
              <w:left w:val="nil"/>
              <w:bottom w:val="nil"/>
              <w:right w:val="single" w:sz="8" w:space="0" w:color="auto"/>
            </w:tcBorders>
            <w:shd w:val="clear" w:color="000000" w:fill="BDD7EE"/>
            <w:vAlign w:val="center"/>
            <w:hideMark/>
          </w:tcPr>
          <w:p w14:paraId="24FC00F1"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Total</w:t>
            </w:r>
          </w:p>
        </w:tc>
      </w:tr>
      <w:tr w:rsidR="0093099B" w14:paraId="673AEDB4" w14:textId="77777777" w:rsidTr="00AC33E0">
        <w:trPr>
          <w:trHeight w:val="315"/>
        </w:trPr>
        <w:tc>
          <w:tcPr>
            <w:tcW w:w="3040" w:type="dxa"/>
            <w:tcBorders>
              <w:top w:val="nil"/>
              <w:left w:val="single" w:sz="8" w:space="0" w:color="auto"/>
              <w:bottom w:val="single" w:sz="8" w:space="0" w:color="auto"/>
              <w:right w:val="single" w:sz="8" w:space="0" w:color="auto"/>
            </w:tcBorders>
            <w:shd w:val="clear" w:color="000000" w:fill="BDD7EE"/>
            <w:hideMark/>
          </w:tcPr>
          <w:p w14:paraId="52C832E7"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 </w:t>
            </w:r>
          </w:p>
        </w:tc>
        <w:tc>
          <w:tcPr>
            <w:tcW w:w="1718" w:type="dxa"/>
            <w:tcBorders>
              <w:top w:val="nil"/>
              <w:left w:val="nil"/>
              <w:bottom w:val="single" w:sz="8" w:space="0" w:color="auto"/>
              <w:right w:val="single" w:sz="8" w:space="0" w:color="auto"/>
            </w:tcBorders>
            <w:shd w:val="clear" w:color="000000" w:fill="BDD7EE"/>
            <w:vAlign w:val="center"/>
            <w:hideMark/>
          </w:tcPr>
          <w:p w14:paraId="655599F6"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£m</w:t>
            </w:r>
          </w:p>
        </w:tc>
        <w:tc>
          <w:tcPr>
            <w:tcW w:w="1718" w:type="dxa"/>
            <w:tcBorders>
              <w:top w:val="nil"/>
              <w:left w:val="nil"/>
              <w:bottom w:val="single" w:sz="8" w:space="0" w:color="auto"/>
              <w:right w:val="single" w:sz="8" w:space="0" w:color="auto"/>
            </w:tcBorders>
            <w:shd w:val="clear" w:color="000000" w:fill="BDD7EE"/>
            <w:vAlign w:val="center"/>
            <w:hideMark/>
          </w:tcPr>
          <w:p w14:paraId="20006E9A"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£m</w:t>
            </w:r>
          </w:p>
        </w:tc>
        <w:tc>
          <w:tcPr>
            <w:tcW w:w="1718" w:type="dxa"/>
            <w:tcBorders>
              <w:top w:val="nil"/>
              <w:left w:val="nil"/>
              <w:bottom w:val="single" w:sz="8" w:space="0" w:color="auto"/>
              <w:right w:val="single" w:sz="8" w:space="0" w:color="auto"/>
            </w:tcBorders>
            <w:shd w:val="clear" w:color="000000" w:fill="BDD7EE"/>
            <w:vAlign w:val="center"/>
            <w:hideMark/>
          </w:tcPr>
          <w:p w14:paraId="4B9FC391"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£m</w:t>
            </w:r>
          </w:p>
        </w:tc>
        <w:tc>
          <w:tcPr>
            <w:tcW w:w="1719" w:type="dxa"/>
            <w:tcBorders>
              <w:top w:val="nil"/>
              <w:left w:val="nil"/>
              <w:bottom w:val="single" w:sz="8" w:space="0" w:color="auto"/>
              <w:right w:val="single" w:sz="8" w:space="0" w:color="auto"/>
            </w:tcBorders>
            <w:shd w:val="clear" w:color="000000" w:fill="BDD7EE"/>
            <w:vAlign w:val="center"/>
            <w:hideMark/>
          </w:tcPr>
          <w:p w14:paraId="4B1E5F4D"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£m</w:t>
            </w:r>
          </w:p>
        </w:tc>
      </w:tr>
      <w:tr w:rsidR="0093099B" w14:paraId="01A1A0C6" w14:textId="77777777" w:rsidTr="00AC33E0">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5ABDFF56"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Spending Gap as reported to Full Council</w:t>
            </w:r>
          </w:p>
        </w:tc>
        <w:tc>
          <w:tcPr>
            <w:tcW w:w="1718" w:type="dxa"/>
            <w:tcBorders>
              <w:top w:val="nil"/>
              <w:left w:val="nil"/>
              <w:bottom w:val="single" w:sz="8" w:space="0" w:color="auto"/>
              <w:right w:val="single" w:sz="8" w:space="0" w:color="auto"/>
            </w:tcBorders>
            <w:shd w:val="clear" w:color="auto" w:fill="auto"/>
            <w:vAlign w:val="center"/>
            <w:hideMark/>
          </w:tcPr>
          <w:p w14:paraId="45F96421"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30.370</w:t>
            </w:r>
          </w:p>
        </w:tc>
        <w:tc>
          <w:tcPr>
            <w:tcW w:w="1718" w:type="dxa"/>
            <w:tcBorders>
              <w:top w:val="nil"/>
              <w:left w:val="nil"/>
              <w:bottom w:val="single" w:sz="8" w:space="0" w:color="auto"/>
              <w:right w:val="single" w:sz="8" w:space="0" w:color="auto"/>
            </w:tcBorders>
            <w:shd w:val="clear" w:color="auto" w:fill="auto"/>
            <w:vAlign w:val="center"/>
            <w:hideMark/>
          </w:tcPr>
          <w:p w14:paraId="0B831052"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5.518</w:t>
            </w:r>
          </w:p>
        </w:tc>
        <w:tc>
          <w:tcPr>
            <w:tcW w:w="1718" w:type="dxa"/>
            <w:tcBorders>
              <w:top w:val="nil"/>
              <w:left w:val="nil"/>
              <w:bottom w:val="single" w:sz="8" w:space="0" w:color="auto"/>
              <w:right w:val="single" w:sz="8" w:space="0" w:color="auto"/>
            </w:tcBorders>
            <w:shd w:val="clear" w:color="auto" w:fill="auto"/>
            <w:vAlign w:val="center"/>
            <w:hideMark/>
          </w:tcPr>
          <w:p w14:paraId="3E15D475"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11.438</w:t>
            </w:r>
          </w:p>
        </w:tc>
        <w:tc>
          <w:tcPr>
            <w:tcW w:w="1719" w:type="dxa"/>
            <w:tcBorders>
              <w:top w:val="nil"/>
              <w:left w:val="nil"/>
              <w:bottom w:val="single" w:sz="8" w:space="0" w:color="auto"/>
              <w:right w:val="single" w:sz="8" w:space="0" w:color="auto"/>
            </w:tcBorders>
            <w:shd w:val="clear" w:color="auto" w:fill="auto"/>
            <w:vAlign w:val="center"/>
          </w:tcPr>
          <w:p w14:paraId="66846EF5"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47.326</w:t>
            </w:r>
          </w:p>
        </w:tc>
      </w:tr>
      <w:tr w:rsidR="0093099B" w14:paraId="1D8B4B0A" w14:textId="77777777" w:rsidTr="00AC33E0">
        <w:trPr>
          <w:trHeight w:val="615"/>
        </w:trPr>
        <w:tc>
          <w:tcPr>
            <w:tcW w:w="3040" w:type="dxa"/>
            <w:tcBorders>
              <w:top w:val="nil"/>
              <w:left w:val="single" w:sz="8" w:space="0" w:color="auto"/>
              <w:bottom w:val="single" w:sz="8" w:space="0" w:color="auto"/>
              <w:right w:val="single" w:sz="8" w:space="0" w:color="auto"/>
            </w:tcBorders>
            <w:shd w:val="clear" w:color="000000" w:fill="BFBFBF"/>
            <w:vAlign w:val="center"/>
            <w:hideMark/>
          </w:tcPr>
          <w:p w14:paraId="30A17165"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Add change to forecast of spending:</w:t>
            </w:r>
          </w:p>
        </w:tc>
        <w:tc>
          <w:tcPr>
            <w:tcW w:w="1718" w:type="dxa"/>
            <w:tcBorders>
              <w:top w:val="nil"/>
              <w:left w:val="nil"/>
              <w:bottom w:val="single" w:sz="8" w:space="0" w:color="auto"/>
              <w:right w:val="single" w:sz="8" w:space="0" w:color="auto"/>
            </w:tcBorders>
            <w:shd w:val="clear" w:color="000000" w:fill="BFBFBF"/>
            <w:vAlign w:val="center"/>
            <w:hideMark/>
          </w:tcPr>
          <w:p w14:paraId="3C8802A4"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718" w:type="dxa"/>
            <w:tcBorders>
              <w:top w:val="nil"/>
              <w:left w:val="nil"/>
              <w:bottom w:val="single" w:sz="8" w:space="0" w:color="auto"/>
              <w:right w:val="single" w:sz="8" w:space="0" w:color="auto"/>
            </w:tcBorders>
            <w:shd w:val="clear" w:color="000000" w:fill="BFBFBF"/>
            <w:vAlign w:val="center"/>
            <w:hideMark/>
          </w:tcPr>
          <w:p w14:paraId="48DA0F7A"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718" w:type="dxa"/>
            <w:tcBorders>
              <w:top w:val="nil"/>
              <w:left w:val="nil"/>
              <w:bottom w:val="single" w:sz="8" w:space="0" w:color="auto"/>
              <w:right w:val="single" w:sz="8" w:space="0" w:color="auto"/>
            </w:tcBorders>
            <w:shd w:val="clear" w:color="000000" w:fill="BFBFBF"/>
            <w:vAlign w:val="center"/>
            <w:hideMark/>
          </w:tcPr>
          <w:p w14:paraId="70909ED3"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719" w:type="dxa"/>
            <w:tcBorders>
              <w:top w:val="nil"/>
              <w:left w:val="nil"/>
              <w:bottom w:val="single" w:sz="8" w:space="0" w:color="auto"/>
              <w:right w:val="single" w:sz="8" w:space="0" w:color="auto"/>
            </w:tcBorders>
            <w:shd w:val="clear" w:color="000000" w:fill="BFBFBF"/>
            <w:vAlign w:val="center"/>
          </w:tcPr>
          <w:p w14:paraId="7729E6E1" w14:textId="77777777" w:rsidR="00AC33E0" w:rsidRPr="00615292" w:rsidRDefault="00AC33E0" w:rsidP="00AC33E0">
            <w:pPr>
              <w:autoSpaceDE/>
              <w:autoSpaceDN/>
              <w:adjustRightInd/>
              <w:spacing w:after="0"/>
              <w:jc w:val="right"/>
              <w:rPr>
                <w:rFonts w:eastAsia="Times New Roman" w:cs="Arial"/>
                <w:lang w:eastAsia="en-GB"/>
              </w:rPr>
            </w:pPr>
          </w:p>
        </w:tc>
      </w:tr>
      <w:tr w:rsidR="0093099B" w14:paraId="135EFA31" w14:textId="77777777" w:rsidTr="00AC33E0">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3CA7782"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Pay &amp; Pensions</w:t>
            </w:r>
          </w:p>
        </w:tc>
        <w:tc>
          <w:tcPr>
            <w:tcW w:w="1718" w:type="dxa"/>
            <w:tcBorders>
              <w:top w:val="nil"/>
              <w:left w:val="nil"/>
              <w:bottom w:val="single" w:sz="8" w:space="0" w:color="auto"/>
              <w:right w:val="single" w:sz="8" w:space="0" w:color="auto"/>
            </w:tcBorders>
            <w:shd w:val="clear" w:color="auto" w:fill="auto"/>
            <w:vAlign w:val="center"/>
            <w:hideMark/>
          </w:tcPr>
          <w:p w14:paraId="09576489"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4.460</w:t>
            </w:r>
          </w:p>
        </w:tc>
        <w:tc>
          <w:tcPr>
            <w:tcW w:w="1718" w:type="dxa"/>
            <w:tcBorders>
              <w:top w:val="nil"/>
              <w:left w:val="nil"/>
              <w:bottom w:val="single" w:sz="8" w:space="0" w:color="auto"/>
              <w:right w:val="single" w:sz="8" w:space="0" w:color="auto"/>
            </w:tcBorders>
            <w:shd w:val="clear" w:color="auto" w:fill="auto"/>
            <w:vAlign w:val="center"/>
            <w:hideMark/>
          </w:tcPr>
          <w:p w14:paraId="78B898FC"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3.448</w:t>
            </w:r>
          </w:p>
        </w:tc>
        <w:tc>
          <w:tcPr>
            <w:tcW w:w="1718" w:type="dxa"/>
            <w:tcBorders>
              <w:top w:val="nil"/>
              <w:left w:val="nil"/>
              <w:bottom w:val="single" w:sz="8" w:space="0" w:color="auto"/>
              <w:right w:val="single" w:sz="8" w:space="0" w:color="auto"/>
            </w:tcBorders>
            <w:shd w:val="clear" w:color="auto" w:fill="auto"/>
            <w:vAlign w:val="center"/>
            <w:hideMark/>
          </w:tcPr>
          <w:p w14:paraId="5CD1E4BF"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3.470</w:t>
            </w:r>
          </w:p>
        </w:tc>
        <w:tc>
          <w:tcPr>
            <w:tcW w:w="1719" w:type="dxa"/>
            <w:tcBorders>
              <w:top w:val="nil"/>
              <w:left w:val="nil"/>
              <w:bottom w:val="single" w:sz="8" w:space="0" w:color="auto"/>
              <w:right w:val="single" w:sz="8" w:space="0" w:color="auto"/>
            </w:tcBorders>
            <w:shd w:val="clear" w:color="auto" w:fill="auto"/>
            <w:vAlign w:val="center"/>
          </w:tcPr>
          <w:p w14:paraId="7B414E1F"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11.378</w:t>
            </w:r>
          </w:p>
        </w:tc>
      </w:tr>
      <w:tr w:rsidR="0093099B" w14:paraId="19A90A0E" w14:textId="77777777" w:rsidTr="00AC33E0">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DB0F840"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Inflation and Cost Changes</w:t>
            </w:r>
          </w:p>
        </w:tc>
        <w:tc>
          <w:tcPr>
            <w:tcW w:w="1718" w:type="dxa"/>
            <w:tcBorders>
              <w:top w:val="nil"/>
              <w:left w:val="nil"/>
              <w:bottom w:val="single" w:sz="8" w:space="0" w:color="auto"/>
              <w:right w:val="single" w:sz="8" w:space="0" w:color="auto"/>
            </w:tcBorders>
            <w:shd w:val="clear" w:color="auto" w:fill="auto"/>
            <w:vAlign w:val="center"/>
            <w:hideMark/>
          </w:tcPr>
          <w:p w14:paraId="49308FE8"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0.373</w:t>
            </w:r>
          </w:p>
        </w:tc>
        <w:tc>
          <w:tcPr>
            <w:tcW w:w="1718" w:type="dxa"/>
            <w:tcBorders>
              <w:top w:val="nil"/>
              <w:left w:val="nil"/>
              <w:bottom w:val="single" w:sz="8" w:space="0" w:color="auto"/>
              <w:right w:val="single" w:sz="8" w:space="0" w:color="auto"/>
            </w:tcBorders>
            <w:shd w:val="clear" w:color="auto" w:fill="auto"/>
            <w:vAlign w:val="center"/>
            <w:hideMark/>
          </w:tcPr>
          <w:p w14:paraId="670D9D42" w14:textId="05311546" w:rsidR="00AC33E0" w:rsidRPr="00615292" w:rsidRDefault="00713660" w:rsidP="00AC33E0">
            <w:pPr>
              <w:autoSpaceDE/>
              <w:autoSpaceDN/>
              <w:adjustRightInd/>
              <w:spacing w:after="0"/>
              <w:jc w:val="right"/>
              <w:rPr>
                <w:rFonts w:eastAsia="Times New Roman" w:cs="Arial"/>
                <w:lang w:eastAsia="en-GB"/>
              </w:rPr>
            </w:pPr>
            <w:r>
              <w:rPr>
                <w:rFonts w:eastAsia="Times New Roman" w:cs="Arial"/>
                <w:lang w:eastAsia="en-GB"/>
              </w:rPr>
              <w:t>-3.118</w:t>
            </w:r>
          </w:p>
        </w:tc>
        <w:tc>
          <w:tcPr>
            <w:tcW w:w="1718" w:type="dxa"/>
            <w:tcBorders>
              <w:top w:val="nil"/>
              <w:left w:val="nil"/>
              <w:bottom w:val="single" w:sz="8" w:space="0" w:color="auto"/>
              <w:right w:val="single" w:sz="8" w:space="0" w:color="auto"/>
            </w:tcBorders>
            <w:shd w:val="clear" w:color="auto" w:fill="auto"/>
            <w:vAlign w:val="center"/>
            <w:hideMark/>
          </w:tcPr>
          <w:p w14:paraId="1056CEFC" w14:textId="3681DFCE" w:rsidR="00AC33E0" w:rsidRPr="00615292" w:rsidRDefault="00713660" w:rsidP="00AC33E0">
            <w:pPr>
              <w:autoSpaceDE/>
              <w:autoSpaceDN/>
              <w:adjustRightInd/>
              <w:spacing w:after="0"/>
              <w:jc w:val="right"/>
              <w:rPr>
                <w:rFonts w:eastAsia="Times New Roman" w:cs="Arial"/>
                <w:lang w:eastAsia="en-GB"/>
              </w:rPr>
            </w:pPr>
            <w:r>
              <w:rPr>
                <w:rFonts w:eastAsia="Times New Roman" w:cs="Arial"/>
                <w:lang w:eastAsia="en-GB"/>
              </w:rPr>
              <w:t>-0.352</w:t>
            </w:r>
          </w:p>
        </w:tc>
        <w:tc>
          <w:tcPr>
            <w:tcW w:w="1719" w:type="dxa"/>
            <w:tcBorders>
              <w:top w:val="nil"/>
              <w:left w:val="nil"/>
              <w:bottom w:val="single" w:sz="8" w:space="0" w:color="auto"/>
              <w:right w:val="single" w:sz="8" w:space="0" w:color="auto"/>
            </w:tcBorders>
            <w:shd w:val="clear" w:color="auto" w:fill="auto"/>
            <w:vAlign w:val="center"/>
          </w:tcPr>
          <w:p w14:paraId="6D4F6380" w14:textId="5B7577DD" w:rsidR="00AC33E0" w:rsidRPr="00615292" w:rsidRDefault="00713660" w:rsidP="00AC33E0">
            <w:pPr>
              <w:autoSpaceDE/>
              <w:autoSpaceDN/>
              <w:adjustRightInd/>
              <w:spacing w:after="0"/>
              <w:jc w:val="right"/>
              <w:rPr>
                <w:rFonts w:eastAsia="Times New Roman" w:cs="Arial"/>
                <w:b/>
                <w:bCs/>
                <w:lang w:eastAsia="en-GB"/>
              </w:rPr>
            </w:pPr>
            <w:r>
              <w:rPr>
                <w:rFonts w:eastAsia="Times New Roman" w:cs="Arial"/>
                <w:b/>
                <w:bCs/>
                <w:lang w:eastAsia="en-GB"/>
              </w:rPr>
              <w:t>-3.097</w:t>
            </w:r>
          </w:p>
        </w:tc>
      </w:tr>
      <w:tr w:rsidR="0093099B" w14:paraId="4A6183A4" w14:textId="77777777" w:rsidTr="00AC33E0">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04F38BF0"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Service Demand and Volume Pressures</w:t>
            </w:r>
          </w:p>
        </w:tc>
        <w:tc>
          <w:tcPr>
            <w:tcW w:w="1718" w:type="dxa"/>
            <w:tcBorders>
              <w:top w:val="nil"/>
              <w:left w:val="nil"/>
              <w:bottom w:val="single" w:sz="8" w:space="0" w:color="auto"/>
              <w:right w:val="single" w:sz="8" w:space="0" w:color="auto"/>
            </w:tcBorders>
            <w:shd w:val="clear" w:color="auto" w:fill="auto"/>
            <w:vAlign w:val="center"/>
            <w:hideMark/>
          </w:tcPr>
          <w:p w14:paraId="0E4C294B"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2.805</w:t>
            </w:r>
          </w:p>
        </w:tc>
        <w:tc>
          <w:tcPr>
            <w:tcW w:w="1718" w:type="dxa"/>
            <w:tcBorders>
              <w:top w:val="nil"/>
              <w:left w:val="nil"/>
              <w:bottom w:val="single" w:sz="8" w:space="0" w:color="auto"/>
              <w:right w:val="single" w:sz="8" w:space="0" w:color="auto"/>
            </w:tcBorders>
            <w:shd w:val="clear" w:color="auto" w:fill="auto"/>
            <w:vAlign w:val="center"/>
            <w:hideMark/>
          </w:tcPr>
          <w:p w14:paraId="1AD8D114"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1.172</w:t>
            </w:r>
          </w:p>
        </w:tc>
        <w:tc>
          <w:tcPr>
            <w:tcW w:w="1718" w:type="dxa"/>
            <w:tcBorders>
              <w:top w:val="nil"/>
              <w:left w:val="nil"/>
              <w:bottom w:val="single" w:sz="8" w:space="0" w:color="auto"/>
              <w:right w:val="single" w:sz="8" w:space="0" w:color="auto"/>
            </w:tcBorders>
            <w:shd w:val="clear" w:color="auto" w:fill="auto"/>
            <w:vAlign w:val="center"/>
            <w:hideMark/>
          </w:tcPr>
          <w:p w14:paraId="0AD9B3E7"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0.376</w:t>
            </w:r>
          </w:p>
        </w:tc>
        <w:tc>
          <w:tcPr>
            <w:tcW w:w="1719" w:type="dxa"/>
            <w:tcBorders>
              <w:top w:val="nil"/>
              <w:left w:val="nil"/>
              <w:bottom w:val="single" w:sz="8" w:space="0" w:color="auto"/>
              <w:right w:val="single" w:sz="8" w:space="0" w:color="auto"/>
            </w:tcBorders>
            <w:shd w:val="clear" w:color="auto" w:fill="auto"/>
            <w:vAlign w:val="center"/>
          </w:tcPr>
          <w:p w14:paraId="5CD74AE8"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4.353</w:t>
            </w:r>
          </w:p>
        </w:tc>
      </w:tr>
      <w:tr w:rsidR="0093099B" w14:paraId="045C0289" w14:textId="77777777" w:rsidTr="00AC33E0">
        <w:trPr>
          <w:trHeight w:val="36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A0410DC"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Other</w:t>
            </w:r>
          </w:p>
        </w:tc>
        <w:tc>
          <w:tcPr>
            <w:tcW w:w="1718" w:type="dxa"/>
            <w:tcBorders>
              <w:top w:val="nil"/>
              <w:left w:val="nil"/>
              <w:bottom w:val="single" w:sz="8" w:space="0" w:color="auto"/>
              <w:right w:val="single" w:sz="8" w:space="0" w:color="auto"/>
            </w:tcBorders>
            <w:shd w:val="clear" w:color="auto" w:fill="auto"/>
            <w:vAlign w:val="center"/>
            <w:hideMark/>
          </w:tcPr>
          <w:p w14:paraId="29077914"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0.025</w:t>
            </w:r>
          </w:p>
        </w:tc>
        <w:tc>
          <w:tcPr>
            <w:tcW w:w="1718" w:type="dxa"/>
            <w:tcBorders>
              <w:top w:val="nil"/>
              <w:left w:val="nil"/>
              <w:bottom w:val="single" w:sz="8" w:space="0" w:color="auto"/>
              <w:right w:val="single" w:sz="8" w:space="0" w:color="auto"/>
            </w:tcBorders>
            <w:shd w:val="clear" w:color="auto" w:fill="auto"/>
            <w:vAlign w:val="center"/>
            <w:hideMark/>
          </w:tcPr>
          <w:p w14:paraId="1EBCADBD"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0.000</w:t>
            </w:r>
          </w:p>
        </w:tc>
        <w:tc>
          <w:tcPr>
            <w:tcW w:w="1718" w:type="dxa"/>
            <w:tcBorders>
              <w:top w:val="nil"/>
              <w:left w:val="nil"/>
              <w:bottom w:val="single" w:sz="8" w:space="0" w:color="auto"/>
              <w:right w:val="single" w:sz="8" w:space="0" w:color="auto"/>
            </w:tcBorders>
            <w:shd w:val="clear" w:color="auto" w:fill="auto"/>
            <w:vAlign w:val="center"/>
            <w:hideMark/>
          </w:tcPr>
          <w:p w14:paraId="4761EB59"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0.000</w:t>
            </w:r>
          </w:p>
        </w:tc>
        <w:tc>
          <w:tcPr>
            <w:tcW w:w="1719" w:type="dxa"/>
            <w:tcBorders>
              <w:top w:val="nil"/>
              <w:left w:val="nil"/>
              <w:bottom w:val="single" w:sz="8" w:space="0" w:color="auto"/>
              <w:right w:val="single" w:sz="8" w:space="0" w:color="auto"/>
            </w:tcBorders>
            <w:shd w:val="clear" w:color="auto" w:fill="auto"/>
            <w:vAlign w:val="center"/>
          </w:tcPr>
          <w:p w14:paraId="128E9E4F"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0.025</w:t>
            </w:r>
          </w:p>
        </w:tc>
      </w:tr>
      <w:tr w:rsidR="0093099B" w14:paraId="3A2EF27C" w14:textId="77777777" w:rsidTr="00AC33E0">
        <w:trPr>
          <w:trHeight w:val="375"/>
        </w:trPr>
        <w:tc>
          <w:tcPr>
            <w:tcW w:w="3040" w:type="dxa"/>
            <w:tcBorders>
              <w:top w:val="nil"/>
              <w:left w:val="single" w:sz="8" w:space="0" w:color="auto"/>
              <w:bottom w:val="single" w:sz="8" w:space="0" w:color="auto"/>
              <w:right w:val="single" w:sz="8" w:space="0" w:color="auto"/>
            </w:tcBorders>
            <w:shd w:val="clear" w:color="auto" w:fill="auto"/>
            <w:noWrap/>
            <w:vAlign w:val="bottom"/>
            <w:hideMark/>
          </w:tcPr>
          <w:p w14:paraId="58DA0055" w14:textId="77777777" w:rsidR="00AC33E0" w:rsidRPr="00615292" w:rsidRDefault="00AC33E0" w:rsidP="00AC33E0">
            <w:pPr>
              <w:autoSpaceDE/>
              <w:autoSpaceDN/>
              <w:adjustRightInd/>
              <w:spacing w:after="0"/>
              <w:jc w:val="left"/>
              <w:rPr>
                <w:rFonts w:eastAsia="Times New Roman" w:cs="Arial"/>
                <w:color w:val="auto"/>
                <w:lang w:eastAsia="en-GB"/>
              </w:rPr>
            </w:pPr>
            <w:r w:rsidRPr="00615292">
              <w:rPr>
                <w:rFonts w:eastAsia="Times New Roman" w:cs="Arial"/>
                <w:color w:val="auto"/>
                <w:lang w:eastAsia="en-GB"/>
              </w:rPr>
              <w:t>Undeliverable Savings</w:t>
            </w:r>
          </w:p>
        </w:tc>
        <w:tc>
          <w:tcPr>
            <w:tcW w:w="1718" w:type="dxa"/>
            <w:tcBorders>
              <w:top w:val="nil"/>
              <w:left w:val="nil"/>
              <w:bottom w:val="single" w:sz="8" w:space="0" w:color="auto"/>
              <w:right w:val="single" w:sz="8" w:space="0" w:color="auto"/>
            </w:tcBorders>
            <w:shd w:val="clear" w:color="auto" w:fill="auto"/>
            <w:vAlign w:val="center"/>
            <w:hideMark/>
          </w:tcPr>
          <w:p w14:paraId="3E4BB06B"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3.483</w:t>
            </w:r>
          </w:p>
        </w:tc>
        <w:tc>
          <w:tcPr>
            <w:tcW w:w="1718" w:type="dxa"/>
            <w:tcBorders>
              <w:top w:val="nil"/>
              <w:left w:val="nil"/>
              <w:bottom w:val="single" w:sz="8" w:space="0" w:color="auto"/>
              <w:right w:val="single" w:sz="8" w:space="0" w:color="auto"/>
            </w:tcBorders>
            <w:shd w:val="clear" w:color="auto" w:fill="auto"/>
            <w:vAlign w:val="center"/>
            <w:hideMark/>
          </w:tcPr>
          <w:p w14:paraId="78BBD627"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0.000</w:t>
            </w:r>
          </w:p>
        </w:tc>
        <w:tc>
          <w:tcPr>
            <w:tcW w:w="1718" w:type="dxa"/>
            <w:tcBorders>
              <w:top w:val="nil"/>
              <w:left w:val="nil"/>
              <w:bottom w:val="single" w:sz="8" w:space="0" w:color="auto"/>
              <w:right w:val="single" w:sz="8" w:space="0" w:color="auto"/>
            </w:tcBorders>
            <w:shd w:val="clear" w:color="auto" w:fill="auto"/>
            <w:vAlign w:val="center"/>
            <w:hideMark/>
          </w:tcPr>
          <w:p w14:paraId="59139BD7"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0.000</w:t>
            </w:r>
          </w:p>
        </w:tc>
        <w:tc>
          <w:tcPr>
            <w:tcW w:w="1719" w:type="dxa"/>
            <w:tcBorders>
              <w:top w:val="nil"/>
              <w:left w:val="nil"/>
              <w:bottom w:val="single" w:sz="8" w:space="0" w:color="auto"/>
              <w:right w:val="single" w:sz="8" w:space="0" w:color="auto"/>
            </w:tcBorders>
            <w:shd w:val="clear" w:color="auto" w:fill="auto"/>
            <w:vAlign w:val="center"/>
          </w:tcPr>
          <w:p w14:paraId="604E62BE"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3.483</w:t>
            </w:r>
          </w:p>
        </w:tc>
      </w:tr>
      <w:tr w:rsidR="0093099B" w14:paraId="46584CD6" w14:textId="77777777" w:rsidTr="00AC33E0">
        <w:trPr>
          <w:trHeight w:val="630"/>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2A6A7434"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Total Change to Forecast of Spending</w:t>
            </w:r>
          </w:p>
        </w:tc>
        <w:tc>
          <w:tcPr>
            <w:tcW w:w="1718" w:type="dxa"/>
            <w:tcBorders>
              <w:top w:val="nil"/>
              <w:left w:val="nil"/>
              <w:bottom w:val="single" w:sz="8" w:space="0" w:color="auto"/>
              <w:right w:val="single" w:sz="8" w:space="0" w:color="auto"/>
            </w:tcBorders>
            <w:shd w:val="clear" w:color="000000" w:fill="D9D9D9"/>
            <w:vAlign w:val="center"/>
            <w:hideMark/>
          </w:tcPr>
          <w:p w14:paraId="50F8CB80"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11.145</w:t>
            </w:r>
          </w:p>
        </w:tc>
        <w:tc>
          <w:tcPr>
            <w:tcW w:w="1718" w:type="dxa"/>
            <w:tcBorders>
              <w:top w:val="nil"/>
              <w:left w:val="nil"/>
              <w:bottom w:val="single" w:sz="8" w:space="0" w:color="auto"/>
              <w:right w:val="single" w:sz="8" w:space="0" w:color="auto"/>
            </w:tcBorders>
            <w:shd w:val="clear" w:color="000000" w:fill="D9D9D9"/>
            <w:vAlign w:val="center"/>
            <w:hideMark/>
          </w:tcPr>
          <w:p w14:paraId="73A3DAD1"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1.502</w:t>
            </w:r>
          </w:p>
        </w:tc>
        <w:tc>
          <w:tcPr>
            <w:tcW w:w="1718" w:type="dxa"/>
            <w:tcBorders>
              <w:top w:val="nil"/>
              <w:left w:val="nil"/>
              <w:bottom w:val="single" w:sz="8" w:space="0" w:color="auto"/>
              <w:right w:val="single" w:sz="8" w:space="0" w:color="auto"/>
            </w:tcBorders>
            <w:shd w:val="clear" w:color="000000" w:fill="D9D9D9"/>
            <w:vAlign w:val="center"/>
            <w:hideMark/>
          </w:tcPr>
          <w:p w14:paraId="700E84A6"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3.494</w:t>
            </w:r>
          </w:p>
        </w:tc>
        <w:tc>
          <w:tcPr>
            <w:tcW w:w="1719" w:type="dxa"/>
            <w:tcBorders>
              <w:top w:val="nil"/>
              <w:left w:val="nil"/>
              <w:bottom w:val="single" w:sz="8" w:space="0" w:color="auto"/>
              <w:right w:val="single" w:sz="8" w:space="0" w:color="auto"/>
            </w:tcBorders>
            <w:shd w:val="clear" w:color="000000" w:fill="D9D9D9"/>
            <w:vAlign w:val="center"/>
          </w:tcPr>
          <w:p w14:paraId="7803D6E7"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16.141</w:t>
            </w:r>
          </w:p>
        </w:tc>
      </w:tr>
      <w:tr w:rsidR="0093099B" w14:paraId="19455AAC" w14:textId="77777777" w:rsidTr="00AC33E0">
        <w:trPr>
          <w:trHeight w:val="45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4887D64"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 </w:t>
            </w:r>
          </w:p>
        </w:tc>
        <w:tc>
          <w:tcPr>
            <w:tcW w:w="1718" w:type="dxa"/>
            <w:tcBorders>
              <w:top w:val="nil"/>
              <w:left w:val="nil"/>
              <w:bottom w:val="single" w:sz="8" w:space="0" w:color="auto"/>
              <w:right w:val="single" w:sz="8" w:space="0" w:color="auto"/>
            </w:tcBorders>
            <w:shd w:val="clear" w:color="auto" w:fill="auto"/>
            <w:vAlign w:val="center"/>
            <w:hideMark/>
          </w:tcPr>
          <w:p w14:paraId="433F4264"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c>
          <w:tcPr>
            <w:tcW w:w="1718" w:type="dxa"/>
            <w:tcBorders>
              <w:top w:val="nil"/>
              <w:left w:val="nil"/>
              <w:bottom w:val="single" w:sz="8" w:space="0" w:color="auto"/>
              <w:right w:val="single" w:sz="8" w:space="0" w:color="auto"/>
            </w:tcBorders>
            <w:shd w:val="clear" w:color="auto" w:fill="auto"/>
            <w:vAlign w:val="center"/>
            <w:hideMark/>
          </w:tcPr>
          <w:p w14:paraId="6CE2C0BB"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c>
          <w:tcPr>
            <w:tcW w:w="1718" w:type="dxa"/>
            <w:tcBorders>
              <w:top w:val="nil"/>
              <w:left w:val="nil"/>
              <w:bottom w:val="single" w:sz="8" w:space="0" w:color="auto"/>
              <w:right w:val="single" w:sz="8" w:space="0" w:color="auto"/>
            </w:tcBorders>
            <w:shd w:val="clear" w:color="auto" w:fill="auto"/>
            <w:vAlign w:val="center"/>
            <w:hideMark/>
          </w:tcPr>
          <w:p w14:paraId="5208ADEF"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c>
          <w:tcPr>
            <w:tcW w:w="1719" w:type="dxa"/>
            <w:tcBorders>
              <w:top w:val="nil"/>
              <w:left w:val="nil"/>
              <w:bottom w:val="single" w:sz="8" w:space="0" w:color="auto"/>
              <w:right w:val="single" w:sz="8" w:space="0" w:color="auto"/>
            </w:tcBorders>
            <w:shd w:val="clear" w:color="auto" w:fill="auto"/>
            <w:vAlign w:val="center"/>
          </w:tcPr>
          <w:p w14:paraId="32058829" w14:textId="77777777" w:rsidR="00AC33E0" w:rsidRPr="00615292" w:rsidRDefault="00AC33E0" w:rsidP="00AC33E0">
            <w:pPr>
              <w:autoSpaceDE/>
              <w:autoSpaceDN/>
              <w:adjustRightInd/>
              <w:spacing w:after="0"/>
              <w:jc w:val="right"/>
              <w:rPr>
                <w:rFonts w:eastAsia="Times New Roman" w:cs="Arial"/>
                <w:b/>
                <w:bCs/>
                <w:lang w:eastAsia="en-GB"/>
              </w:rPr>
            </w:pPr>
          </w:p>
        </w:tc>
      </w:tr>
      <w:tr w:rsidR="0093099B" w14:paraId="4EB7B77A" w14:textId="77777777" w:rsidTr="00AC33E0">
        <w:trPr>
          <w:trHeight w:val="480"/>
        </w:trPr>
        <w:tc>
          <w:tcPr>
            <w:tcW w:w="3040" w:type="dxa"/>
            <w:tcBorders>
              <w:top w:val="nil"/>
              <w:left w:val="single" w:sz="8" w:space="0" w:color="auto"/>
              <w:bottom w:val="single" w:sz="8" w:space="0" w:color="auto"/>
              <w:right w:val="single" w:sz="8" w:space="0" w:color="auto"/>
            </w:tcBorders>
            <w:shd w:val="clear" w:color="000000" w:fill="BFBFBF"/>
            <w:vAlign w:val="center"/>
            <w:hideMark/>
          </w:tcPr>
          <w:p w14:paraId="14B440CB"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Change to forecast of resources:</w:t>
            </w:r>
          </w:p>
        </w:tc>
        <w:tc>
          <w:tcPr>
            <w:tcW w:w="1718" w:type="dxa"/>
            <w:tcBorders>
              <w:top w:val="nil"/>
              <w:left w:val="nil"/>
              <w:bottom w:val="single" w:sz="8" w:space="0" w:color="auto"/>
              <w:right w:val="single" w:sz="8" w:space="0" w:color="auto"/>
            </w:tcBorders>
            <w:shd w:val="clear" w:color="000000" w:fill="BFBFBF"/>
            <w:vAlign w:val="center"/>
            <w:hideMark/>
          </w:tcPr>
          <w:p w14:paraId="62266A16"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718" w:type="dxa"/>
            <w:tcBorders>
              <w:top w:val="nil"/>
              <w:left w:val="nil"/>
              <w:bottom w:val="single" w:sz="8" w:space="0" w:color="auto"/>
              <w:right w:val="single" w:sz="8" w:space="0" w:color="auto"/>
            </w:tcBorders>
            <w:shd w:val="clear" w:color="000000" w:fill="BFBFBF"/>
            <w:vAlign w:val="center"/>
            <w:hideMark/>
          </w:tcPr>
          <w:p w14:paraId="76C0ACA0"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718" w:type="dxa"/>
            <w:tcBorders>
              <w:top w:val="nil"/>
              <w:left w:val="nil"/>
              <w:bottom w:val="single" w:sz="8" w:space="0" w:color="auto"/>
              <w:right w:val="single" w:sz="8" w:space="0" w:color="auto"/>
            </w:tcBorders>
            <w:shd w:val="clear" w:color="000000" w:fill="BFBFBF"/>
            <w:vAlign w:val="center"/>
            <w:hideMark/>
          </w:tcPr>
          <w:p w14:paraId="58AB5FC6"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719" w:type="dxa"/>
            <w:tcBorders>
              <w:top w:val="nil"/>
              <w:left w:val="nil"/>
              <w:bottom w:val="single" w:sz="8" w:space="0" w:color="auto"/>
              <w:right w:val="single" w:sz="8" w:space="0" w:color="auto"/>
            </w:tcBorders>
            <w:shd w:val="clear" w:color="000000" w:fill="BFBFBF"/>
            <w:vAlign w:val="center"/>
          </w:tcPr>
          <w:p w14:paraId="41860D44" w14:textId="77777777" w:rsidR="00AC33E0" w:rsidRPr="00615292" w:rsidRDefault="00AC33E0" w:rsidP="00AC33E0">
            <w:pPr>
              <w:autoSpaceDE/>
              <w:autoSpaceDN/>
              <w:adjustRightInd/>
              <w:spacing w:after="0"/>
              <w:jc w:val="right"/>
              <w:rPr>
                <w:rFonts w:eastAsia="Times New Roman" w:cs="Arial"/>
                <w:lang w:eastAsia="en-GB"/>
              </w:rPr>
            </w:pPr>
          </w:p>
        </w:tc>
      </w:tr>
      <w:tr w:rsidR="0093099B" w14:paraId="1DD037F4" w14:textId="77777777" w:rsidTr="00AC33E0">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7906B1FC"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Funding</w:t>
            </w:r>
          </w:p>
        </w:tc>
        <w:tc>
          <w:tcPr>
            <w:tcW w:w="1718" w:type="dxa"/>
            <w:tcBorders>
              <w:top w:val="nil"/>
              <w:left w:val="nil"/>
              <w:bottom w:val="single" w:sz="8" w:space="0" w:color="auto"/>
              <w:right w:val="single" w:sz="8" w:space="0" w:color="auto"/>
            </w:tcBorders>
            <w:shd w:val="clear" w:color="auto" w:fill="auto"/>
            <w:vAlign w:val="center"/>
            <w:hideMark/>
          </w:tcPr>
          <w:p w14:paraId="10E71B9E"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-35.621</w:t>
            </w:r>
          </w:p>
        </w:tc>
        <w:tc>
          <w:tcPr>
            <w:tcW w:w="1718" w:type="dxa"/>
            <w:tcBorders>
              <w:top w:val="nil"/>
              <w:left w:val="nil"/>
              <w:bottom w:val="single" w:sz="8" w:space="0" w:color="auto"/>
              <w:right w:val="single" w:sz="8" w:space="0" w:color="auto"/>
            </w:tcBorders>
            <w:shd w:val="clear" w:color="auto" w:fill="auto"/>
            <w:vAlign w:val="center"/>
            <w:hideMark/>
          </w:tcPr>
          <w:p w14:paraId="0D1B34AC"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32.014</w:t>
            </w:r>
          </w:p>
        </w:tc>
        <w:tc>
          <w:tcPr>
            <w:tcW w:w="1718" w:type="dxa"/>
            <w:tcBorders>
              <w:top w:val="nil"/>
              <w:left w:val="nil"/>
              <w:bottom w:val="single" w:sz="8" w:space="0" w:color="auto"/>
              <w:right w:val="single" w:sz="8" w:space="0" w:color="auto"/>
            </w:tcBorders>
            <w:shd w:val="clear" w:color="auto" w:fill="auto"/>
            <w:vAlign w:val="center"/>
            <w:hideMark/>
          </w:tcPr>
          <w:p w14:paraId="67C06DC5"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4.895</w:t>
            </w:r>
          </w:p>
        </w:tc>
        <w:tc>
          <w:tcPr>
            <w:tcW w:w="1719" w:type="dxa"/>
            <w:tcBorders>
              <w:top w:val="nil"/>
              <w:left w:val="nil"/>
              <w:bottom w:val="single" w:sz="8" w:space="0" w:color="auto"/>
              <w:right w:val="single" w:sz="8" w:space="0" w:color="auto"/>
            </w:tcBorders>
            <w:shd w:val="clear" w:color="auto" w:fill="auto"/>
            <w:vAlign w:val="center"/>
          </w:tcPr>
          <w:p w14:paraId="5C3FFCC0"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1.288</w:t>
            </w:r>
          </w:p>
        </w:tc>
      </w:tr>
      <w:tr w:rsidR="0093099B" w14:paraId="74AB3D5D" w14:textId="77777777" w:rsidTr="00AC33E0">
        <w:trPr>
          <w:trHeight w:val="6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14:paraId="57FF5C30"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Total Change to Forecast of Resources</w:t>
            </w:r>
          </w:p>
        </w:tc>
        <w:tc>
          <w:tcPr>
            <w:tcW w:w="1718" w:type="dxa"/>
            <w:tcBorders>
              <w:top w:val="single" w:sz="8" w:space="0" w:color="auto"/>
              <w:left w:val="nil"/>
              <w:bottom w:val="single" w:sz="8" w:space="0" w:color="auto"/>
              <w:right w:val="single" w:sz="8" w:space="0" w:color="auto"/>
            </w:tcBorders>
            <w:shd w:val="clear" w:color="000000" w:fill="D9D9D9"/>
            <w:vAlign w:val="center"/>
            <w:hideMark/>
          </w:tcPr>
          <w:p w14:paraId="7A808163"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-35.621</w:t>
            </w:r>
          </w:p>
        </w:tc>
        <w:tc>
          <w:tcPr>
            <w:tcW w:w="1718" w:type="dxa"/>
            <w:tcBorders>
              <w:top w:val="single" w:sz="8" w:space="0" w:color="auto"/>
              <w:left w:val="nil"/>
              <w:bottom w:val="single" w:sz="8" w:space="0" w:color="auto"/>
              <w:right w:val="single" w:sz="8" w:space="0" w:color="auto"/>
            </w:tcBorders>
            <w:shd w:val="clear" w:color="000000" w:fill="D9D9D9"/>
            <w:vAlign w:val="center"/>
            <w:hideMark/>
          </w:tcPr>
          <w:p w14:paraId="2EF0BF02"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32.014</w:t>
            </w:r>
          </w:p>
        </w:tc>
        <w:tc>
          <w:tcPr>
            <w:tcW w:w="1718" w:type="dxa"/>
            <w:tcBorders>
              <w:top w:val="single" w:sz="8" w:space="0" w:color="auto"/>
              <w:left w:val="nil"/>
              <w:bottom w:val="single" w:sz="8" w:space="0" w:color="auto"/>
              <w:right w:val="single" w:sz="8" w:space="0" w:color="auto"/>
            </w:tcBorders>
            <w:shd w:val="clear" w:color="000000" w:fill="D9D9D9"/>
            <w:vAlign w:val="center"/>
            <w:hideMark/>
          </w:tcPr>
          <w:p w14:paraId="64DC75EF"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4.895</w:t>
            </w:r>
          </w:p>
        </w:tc>
        <w:tc>
          <w:tcPr>
            <w:tcW w:w="1719" w:type="dxa"/>
            <w:tcBorders>
              <w:top w:val="nil"/>
              <w:left w:val="nil"/>
              <w:bottom w:val="single" w:sz="8" w:space="0" w:color="auto"/>
              <w:right w:val="single" w:sz="8" w:space="0" w:color="auto"/>
            </w:tcBorders>
            <w:shd w:val="clear" w:color="000000" w:fill="D9D9D9"/>
            <w:vAlign w:val="center"/>
          </w:tcPr>
          <w:p w14:paraId="78A5333A"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1.288</w:t>
            </w:r>
          </w:p>
        </w:tc>
      </w:tr>
      <w:tr w:rsidR="0093099B" w14:paraId="0FB95FA5" w14:textId="77777777" w:rsidTr="00AC33E0">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85E1E61"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 </w:t>
            </w:r>
          </w:p>
        </w:tc>
        <w:tc>
          <w:tcPr>
            <w:tcW w:w="1718" w:type="dxa"/>
            <w:tcBorders>
              <w:top w:val="nil"/>
              <w:left w:val="nil"/>
              <w:bottom w:val="single" w:sz="8" w:space="0" w:color="auto"/>
              <w:right w:val="single" w:sz="8" w:space="0" w:color="auto"/>
            </w:tcBorders>
            <w:shd w:val="clear" w:color="auto" w:fill="auto"/>
            <w:vAlign w:val="center"/>
            <w:hideMark/>
          </w:tcPr>
          <w:p w14:paraId="7DC06A58"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c>
          <w:tcPr>
            <w:tcW w:w="1718" w:type="dxa"/>
            <w:tcBorders>
              <w:top w:val="nil"/>
              <w:left w:val="nil"/>
              <w:bottom w:val="single" w:sz="8" w:space="0" w:color="auto"/>
              <w:right w:val="single" w:sz="8" w:space="0" w:color="auto"/>
            </w:tcBorders>
            <w:shd w:val="clear" w:color="auto" w:fill="auto"/>
            <w:vAlign w:val="center"/>
            <w:hideMark/>
          </w:tcPr>
          <w:p w14:paraId="59BC9C84"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c>
          <w:tcPr>
            <w:tcW w:w="1718" w:type="dxa"/>
            <w:tcBorders>
              <w:top w:val="nil"/>
              <w:left w:val="nil"/>
              <w:bottom w:val="single" w:sz="8" w:space="0" w:color="auto"/>
              <w:right w:val="single" w:sz="8" w:space="0" w:color="auto"/>
            </w:tcBorders>
            <w:shd w:val="clear" w:color="auto" w:fill="auto"/>
            <w:vAlign w:val="center"/>
            <w:hideMark/>
          </w:tcPr>
          <w:p w14:paraId="33CD592F"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c>
          <w:tcPr>
            <w:tcW w:w="1719" w:type="dxa"/>
            <w:tcBorders>
              <w:top w:val="nil"/>
              <w:left w:val="nil"/>
              <w:bottom w:val="single" w:sz="8" w:space="0" w:color="auto"/>
              <w:right w:val="single" w:sz="8" w:space="0" w:color="auto"/>
            </w:tcBorders>
            <w:shd w:val="clear" w:color="auto" w:fill="auto"/>
            <w:vAlign w:val="center"/>
          </w:tcPr>
          <w:p w14:paraId="67E322C2" w14:textId="77777777" w:rsidR="00AC33E0" w:rsidRPr="00615292" w:rsidRDefault="00AC33E0" w:rsidP="00AC33E0">
            <w:pPr>
              <w:autoSpaceDE/>
              <w:autoSpaceDN/>
              <w:adjustRightInd/>
              <w:spacing w:after="0"/>
              <w:jc w:val="right"/>
              <w:rPr>
                <w:rFonts w:eastAsia="Times New Roman" w:cs="Arial"/>
                <w:b/>
                <w:bCs/>
                <w:lang w:eastAsia="en-GB"/>
              </w:rPr>
            </w:pPr>
          </w:p>
        </w:tc>
      </w:tr>
      <w:tr w:rsidR="0093099B" w14:paraId="538A4A3B" w14:textId="77777777" w:rsidTr="00AC33E0">
        <w:trPr>
          <w:trHeight w:val="375"/>
        </w:trPr>
        <w:tc>
          <w:tcPr>
            <w:tcW w:w="3040" w:type="dxa"/>
            <w:tcBorders>
              <w:top w:val="nil"/>
              <w:left w:val="single" w:sz="8" w:space="0" w:color="auto"/>
              <w:bottom w:val="nil"/>
              <w:right w:val="single" w:sz="8" w:space="0" w:color="auto"/>
            </w:tcBorders>
            <w:shd w:val="clear" w:color="000000" w:fill="BFBFBF"/>
            <w:vAlign w:val="center"/>
            <w:hideMark/>
          </w:tcPr>
          <w:p w14:paraId="5596F762"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Funding Gap</w:t>
            </w:r>
          </w:p>
        </w:tc>
        <w:tc>
          <w:tcPr>
            <w:tcW w:w="1718" w:type="dxa"/>
            <w:tcBorders>
              <w:top w:val="nil"/>
              <w:left w:val="nil"/>
              <w:bottom w:val="nil"/>
              <w:right w:val="single" w:sz="8" w:space="0" w:color="auto"/>
            </w:tcBorders>
            <w:shd w:val="clear" w:color="000000" w:fill="D9D9D9"/>
            <w:vAlign w:val="center"/>
            <w:hideMark/>
          </w:tcPr>
          <w:p w14:paraId="1B9D5E85"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5.895</w:t>
            </w:r>
          </w:p>
        </w:tc>
        <w:tc>
          <w:tcPr>
            <w:tcW w:w="1718" w:type="dxa"/>
            <w:tcBorders>
              <w:top w:val="nil"/>
              <w:left w:val="nil"/>
              <w:bottom w:val="nil"/>
              <w:right w:val="single" w:sz="8" w:space="0" w:color="auto"/>
            </w:tcBorders>
            <w:shd w:val="clear" w:color="000000" w:fill="D9D9D9"/>
            <w:vAlign w:val="center"/>
            <w:hideMark/>
          </w:tcPr>
          <w:p w14:paraId="7F3FC7B7"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39.034</w:t>
            </w:r>
          </w:p>
        </w:tc>
        <w:tc>
          <w:tcPr>
            <w:tcW w:w="1718" w:type="dxa"/>
            <w:tcBorders>
              <w:top w:val="nil"/>
              <w:left w:val="nil"/>
              <w:bottom w:val="nil"/>
              <w:right w:val="single" w:sz="8" w:space="0" w:color="auto"/>
            </w:tcBorders>
            <w:shd w:val="clear" w:color="000000" w:fill="D9D9D9"/>
            <w:vAlign w:val="center"/>
            <w:hideMark/>
          </w:tcPr>
          <w:p w14:paraId="4CDDA88C"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19.826</w:t>
            </w:r>
          </w:p>
        </w:tc>
        <w:tc>
          <w:tcPr>
            <w:tcW w:w="1719" w:type="dxa"/>
            <w:tcBorders>
              <w:top w:val="nil"/>
              <w:left w:val="nil"/>
              <w:bottom w:val="nil"/>
              <w:right w:val="single" w:sz="8" w:space="0" w:color="auto"/>
            </w:tcBorders>
            <w:shd w:val="clear" w:color="000000" w:fill="D9D9D9"/>
            <w:vAlign w:val="center"/>
          </w:tcPr>
          <w:p w14:paraId="6E97E071" w14:textId="77777777" w:rsidR="00AC33E0" w:rsidRPr="00615292" w:rsidRDefault="00AC33E0" w:rsidP="00AC33E0">
            <w:pPr>
              <w:autoSpaceDE/>
              <w:autoSpaceDN/>
              <w:adjustRightInd/>
              <w:spacing w:after="0"/>
              <w:jc w:val="right"/>
              <w:rPr>
                <w:rFonts w:eastAsia="Times New Roman" w:cs="Arial"/>
                <w:b/>
                <w:bCs/>
                <w:lang w:eastAsia="en-GB"/>
              </w:rPr>
            </w:pPr>
            <w:r>
              <w:rPr>
                <w:rFonts w:eastAsia="Times New Roman" w:cs="Arial"/>
                <w:b/>
                <w:bCs/>
                <w:lang w:eastAsia="en-GB"/>
              </w:rPr>
              <w:t>64.755</w:t>
            </w:r>
          </w:p>
        </w:tc>
      </w:tr>
      <w:tr w:rsidR="0093099B" w14:paraId="7DA8EBA6" w14:textId="77777777" w:rsidTr="00AC33E0">
        <w:trPr>
          <w:trHeight w:val="330"/>
        </w:trPr>
        <w:tc>
          <w:tcPr>
            <w:tcW w:w="3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4EAAF2" w14:textId="77777777" w:rsidR="00AC33E0" w:rsidRPr="00615292" w:rsidRDefault="00AC33E0" w:rsidP="00AC33E0">
            <w:pPr>
              <w:autoSpaceDE/>
              <w:autoSpaceDN/>
              <w:adjustRightInd/>
              <w:spacing w:after="0"/>
              <w:jc w:val="left"/>
              <w:rPr>
                <w:rFonts w:eastAsia="Times New Roman" w:cs="Arial"/>
                <w:lang w:eastAsia="en-GB"/>
              </w:rPr>
            </w:pPr>
            <w:r w:rsidRPr="00615292">
              <w:rPr>
                <w:rFonts w:eastAsia="Times New Roman" w:cs="Arial"/>
                <w:lang w:eastAsia="en-GB"/>
              </w:rPr>
              <w:t> </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14:paraId="14010D3D" w14:textId="77777777" w:rsidR="00AC33E0" w:rsidRPr="00615292" w:rsidRDefault="00AC33E0" w:rsidP="00AC33E0">
            <w:pPr>
              <w:autoSpaceDE/>
              <w:autoSpaceDN/>
              <w:adjustRightInd/>
              <w:spacing w:after="0"/>
              <w:jc w:val="center"/>
              <w:rPr>
                <w:rFonts w:eastAsia="Times New Roman" w:cs="Arial"/>
                <w:lang w:eastAsia="en-GB"/>
              </w:rPr>
            </w:pPr>
            <w:r w:rsidRPr="00615292">
              <w:rPr>
                <w:rFonts w:eastAsia="Times New Roman" w:cs="Arial"/>
                <w:lang w:eastAsia="en-GB"/>
              </w:rPr>
              <w:t> </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14:paraId="07659270" w14:textId="77777777" w:rsidR="00AC33E0" w:rsidRPr="00615292" w:rsidRDefault="00AC33E0" w:rsidP="00AC33E0">
            <w:pPr>
              <w:autoSpaceDE/>
              <w:autoSpaceDN/>
              <w:adjustRightInd/>
              <w:spacing w:after="0"/>
              <w:jc w:val="center"/>
              <w:rPr>
                <w:rFonts w:eastAsia="Times New Roman" w:cs="Arial"/>
                <w:lang w:eastAsia="en-GB"/>
              </w:rPr>
            </w:pPr>
            <w:r w:rsidRPr="00615292">
              <w:rPr>
                <w:rFonts w:eastAsia="Times New Roman" w:cs="Arial"/>
                <w:lang w:eastAsia="en-GB"/>
              </w:rPr>
              <w:t> </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14:paraId="5EAF8BC8" w14:textId="77777777" w:rsidR="00AC33E0" w:rsidRPr="00615292" w:rsidRDefault="00AC33E0" w:rsidP="00AC33E0">
            <w:pPr>
              <w:autoSpaceDE/>
              <w:autoSpaceDN/>
              <w:adjustRightInd/>
              <w:spacing w:after="0"/>
              <w:jc w:val="center"/>
              <w:rPr>
                <w:rFonts w:eastAsia="Times New Roman" w:cs="Arial"/>
                <w:lang w:eastAsia="en-GB"/>
              </w:rPr>
            </w:pPr>
            <w:r w:rsidRPr="00615292">
              <w:rPr>
                <w:rFonts w:eastAsia="Times New Roman" w:cs="Arial"/>
                <w:lang w:eastAsia="en-GB"/>
              </w:rPr>
              <w:t> </w:t>
            </w:r>
          </w:p>
        </w:tc>
        <w:tc>
          <w:tcPr>
            <w:tcW w:w="1719" w:type="dxa"/>
            <w:tcBorders>
              <w:top w:val="single" w:sz="8" w:space="0" w:color="auto"/>
              <w:left w:val="nil"/>
              <w:bottom w:val="single" w:sz="8" w:space="0" w:color="auto"/>
              <w:right w:val="single" w:sz="8" w:space="0" w:color="auto"/>
            </w:tcBorders>
            <w:shd w:val="clear" w:color="auto" w:fill="auto"/>
            <w:vAlign w:val="center"/>
            <w:hideMark/>
          </w:tcPr>
          <w:p w14:paraId="0F92613C" w14:textId="77777777" w:rsidR="00AC33E0" w:rsidRPr="00615292" w:rsidRDefault="00AC33E0" w:rsidP="00AC33E0">
            <w:pPr>
              <w:autoSpaceDE/>
              <w:autoSpaceDN/>
              <w:adjustRightInd/>
              <w:spacing w:after="0"/>
              <w:jc w:val="center"/>
              <w:rPr>
                <w:rFonts w:eastAsia="Times New Roman" w:cs="Arial"/>
                <w:b/>
                <w:bCs/>
                <w:lang w:eastAsia="en-GB"/>
              </w:rPr>
            </w:pPr>
            <w:r w:rsidRPr="00615292">
              <w:rPr>
                <w:rFonts w:eastAsia="Times New Roman" w:cs="Arial"/>
                <w:b/>
                <w:bCs/>
                <w:lang w:eastAsia="en-GB"/>
              </w:rPr>
              <w:t> </w:t>
            </w:r>
          </w:p>
        </w:tc>
      </w:tr>
      <w:tr w:rsidR="0093099B" w14:paraId="78169EE9" w14:textId="77777777" w:rsidTr="00AC33E0">
        <w:trPr>
          <w:trHeight w:val="615"/>
        </w:trPr>
        <w:tc>
          <w:tcPr>
            <w:tcW w:w="3040" w:type="dxa"/>
            <w:tcBorders>
              <w:top w:val="nil"/>
              <w:left w:val="single" w:sz="8" w:space="0" w:color="auto"/>
              <w:bottom w:val="single" w:sz="8" w:space="0" w:color="auto"/>
              <w:right w:val="single" w:sz="8" w:space="0" w:color="auto"/>
            </w:tcBorders>
            <w:shd w:val="clear" w:color="auto" w:fill="auto"/>
            <w:hideMark/>
          </w:tcPr>
          <w:p w14:paraId="546529A1"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Forecast net budget requirement</w:t>
            </w:r>
          </w:p>
        </w:tc>
        <w:tc>
          <w:tcPr>
            <w:tcW w:w="1718" w:type="dxa"/>
            <w:tcBorders>
              <w:top w:val="nil"/>
              <w:left w:val="nil"/>
              <w:bottom w:val="single" w:sz="8" w:space="0" w:color="auto"/>
              <w:right w:val="single" w:sz="8" w:space="0" w:color="auto"/>
            </w:tcBorders>
            <w:shd w:val="clear" w:color="auto" w:fill="auto"/>
            <w:vAlign w:val="center"/>
            <w:hideMark/>
          </w:tcPr>
          <w:p w14:paraId="47FAD5BC"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822.956</w:t>
            </w:r>
          </w:p>
        </w:tc>
        <w:tc>
          <w:tcPr>
            <w:tcW w:w="1718" w:type="dxa"/>
            <w:tcBorders>
              <w:top w:val="nil"/>
              <w:left w:val="nil"/>
              <w:bottom w:val="single" w:sz="8" w:space="0" w:color="auto"/>
              <w:right w:val="single" w:sz="8" w:space="0" w:color="auto"/>
            </w:tcBorders>
            <w:shd w:val="clear" w:color="auto" w:fill="auto"/>
            <w:vAlign w:val="center"/>
            <w:hideMark/>
          </w:tcPr>
          <w:p w14:paraId="7CE67BBD"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841.591</w:t>
            </w:r>
          </w:p>
        </w:tc>
        <w:tc>
          <w:tcPr>
            <w:tcW w:w="1718" w:type="dxa"/>
            <w:tcBorders>
              <w:top w:val="nil"/>
              <w:left w:val="nil"/>
              <w:bottom w:val="single" w:sz="8" w:space="0" w:color="auto"/>
              <w:right w:val="single" w:sz="8" w:space="0" w:color="auto"/>
            </w:tcBorders>
            <w:shd w:val="clear" w:color="auto" w:fill="auto"/>
            <w:vAlign w:val="center"/>
            <w:hideMark/>
          </w:tcPr>
          <w:p w14:paraId="3125F7D3"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842.891</w:t>
            </w:r>
          </w:p>
        </w:tc>
        <w:tc>
          <w:tcPr>
            <w:tcW w:w="1719" w:type="dxa"/>
            <w:tcBorders>
              <w:top w:val="nil"/>
              <w:left w:val="nil"/>
              <w:bottom w:val="single" w:sz="8" w:space="0" w:color="auto"/>
              <w:right w:val="single" w:sz="8" w:space="0" w:color="auto"/>
            </w:tcBorders>
            <w:shd w:val="clear" w:color="auto" w:fill="auto"/>
            <w:vAlign w:val="center"/>
            <w:hideMark/>
          </w:tcPr>
          <w:p w14:paraId="18A11E5D"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r>
      <w:tr w:rsidR="0093099B" w14:paraId="3EF67794" w14:textId="77777777" w:rsidTr="00AC33E0">
        <w:trPr>
          <w:trHeight w:val="330"/>
        </w:trPr>
        <w:tc>
          <w:tcPr>
            <w:tcW w:w="3040" w:type="dxa"/>
            <w:tcBorders>
              <w:top w:val="nil"/>
              <w:left w:val="single" w:sz="8" w:space="0" w:color="auto"/>
              <w:bottom w:val="single" w:sz="8" w:space="0" w:color="auto"/>
              <w:right w:val="single" w:sz="8" w:space="0" w:color="auto"/>
            </w:tcBorders>
            <w:shd w:val="clear" w:color="auto" w:fill="auto"/>
            <w:hideMark/>
          </w:tcPr>
          <w:p w14:paraId="16DB5BA4"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Funding</w:t>
            </w:r>
          </w:p>
        </w:tc>
        <w:tc>
          <w:tcPr>
            <w:tcW w:w="1718" w:type="dxa"/>
            <w:tcBorders>
              <w:top w:val="nil"/>
              <w:left w:val="nil"/>
              <w:bottom w:val="single" w:sz="8" w:space="0" w:color="auto"/>
              <w:right w:val="single" w:sz="8" w:space="0" w:color="auto"/>
            </w:tcBorders>
            <w:shd w:val="clear" w:color="auto" w:fill="auto"/>
            <w:vAlign w:val="center"/>
            <w:hideMark/>
          </w:tcPr>
          <w:p w14:paraId="785753F4"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817.061</w:t>
            </w:r>
          </w:p>
        </w:tc>
        <w:tc>
          <w:tcPr>
            <w:tcW w:w="1718" w:type="dxa"/>
            <w:tcBorders>
              <w:top w:val="nil"/>
              <w:left w:val="nil"/>
              <w:bottom w:val="single" w:sz="8" w:space="0" w:color="auto"/>
              <w:right w:val="single" w:sz="8" w:space="0" w:color="auto"/>
            </w:tcBorders>
            <w:shd w:val="clear" w:color="auto" w:fill="auto"/>
            <w:vAlign w:val="center"/>
            <w:hideMark/>
          </w:tcPr>
          <w:p w14:paraId="493CAC61"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802.558</w:t>
            </w:r>
          </w:p>
        </w:tc>
        <w:tc>
          <w:tcPr>
            <w:tcW w:w="1718" w:type="dxa"/>
            <w:tcBorders>
              <w:top w:val="nil"/>
              <w:left w:val="nil"/>
              <w:bottom w:val="single" w:sz="8" w:space="0" w:color="auto"/>
              <w:right w:val="single" w:sz="8" w:space="0" w:color="auto"/>
            </w:tcBorders>
            <w:shd w:val="clear" w:color="auto" w:fill="auto"/>
            <w:vAlign w:val="center"/>
            <w:hideMark/>
          </w:tcPr>
          <w:p w14:paraId="37ADDF14"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823.065</w:t>
            </w:r>
          </w:p>
        </w:tc>
        <w:tc>
          <w:tcPr>
            <w:tcW w:w="1719" w:type="dxa"/>
            <w:tcBorders>
              <w:top w:val="nil"/>
              <w:left w:val="nil"/>
              <w:bottom w:val="single" w:sz="8" w:space="0" w:color="auto"/>
              <w:right w:val="single" w:sz="8" w:space="0" w:color="auto"/>
            </w:tcBorders>
            <w:shd w:val="clear" w:color="auto" w:fill="auto"/>
            <w:vAlign w:val="center"/>
            <w:hideMark/>
          </w:tcPr>
          <w:p w14:paraId="2453D3F1"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 </w:t>
            </w:r>
          </w:p>
        </w:tc>
      </w:tr>
    </w:tbl>
    <w:p w14:paraId="105636FE" w14:textId="77777777" w:rsidR="00AC33E0" w:rsidRPr="009C69DC" w:rsidRDefault="00AC33E0" w:rsidP="00AC33E0">
      <w:pPr>
        <w:tabs>
          <w:tab w:val="left" w:pos="567"/>
          <w:tab w:val="left" w:pos="1134"/>
        </w:tabs>
        <w:spacing w:after="0"/>
        <w:rPr>
          <w:rFonts w:cs="Arial"/>
          <w:b/>
          <w:i/>
          <w:highlight w:val="yellow"/>
          <w:u w:val="single"/>
        </w:rPr>
      </w:pPr>
    </w:p>
    <w:tbl>
      <w:tblPr>
        <w:tblW w:w="9913" w:type="dxa"/>
        <w:tblLook w:val="04A0" w:firstRow="1" w:lastRow="0" w:firstColumn="1" w:lastColumn="0" w:noHBand="0" w:noVBand="1"/>
      </w:tblPr>
      <w:tblGrid>
        <w:gridCol w:w="5519"/>
        <w:gridCol w:w="1464"/>
        <w:gridCol w:w="1465"/>
        <w:gridCol w:w="1465"/>
      </w:tblGrid>
      <w:tr w:rsidR="0093099B" w14:paraId="2090F001" w14:textId="77777777" w:rsidTr="00AC33E0">
        <w:trPr>
          <w:trHeight w:val="480"/>
        </w:trPr>
        <w:tc>
          <w:tcPr>
            <w:tcW w:w="551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6887A06"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Aggregated Funding Gap</w:t>
            </w:r>
          </w:p>
        </w:tc>
        <w:tc>
          <w:tcPr>
            <w:tcW w:w="1464" w:type="dxa"/>
            <w:tcBorders>
              <w:top w:val="single" w:sz="8" w:space="0" w:color="auto"/>
              <w:left w:val="nil"/>
              <w:bottom w:val="single" w:sz="8" w:space="0" w:color="auto"/>
              <w:right w:val="single" w:sz="8" w:space="0" w:color="auto"/>
            </w:tcBorders>
            <w:shd w:val="clear" w:color="000000" w:fill="BFBFBF"/>
            <w:vAlign w:val="center"/>
            <w:hideMark/>
          </w:tcPr>
          <w:p w14:paraId="4CBE2A85"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2020/21</w:t>
            </w:r>
          </w:p>
        </w:tc>
        <w:tc>
          <w:tcPr>
            <w:tcW w:w="1465" w:type="dxa"/>
            <w:tcBorders>
              <w:top w:val="single" w:sz="8" w:space="0" w:color="auto"/>
              <w:left w:val="nil"/>
              <w:bottom w:val="single" w:sz="8" w:space="0" w:color="auto"/>
              <w:right w:val="single" w:sz="8" w:space="0" w:color="auto"/>
            </w:tcBorders>
            <w:shd w:val="clear" w:color="000000" w:fill="BFBFBF"/>
            <w:vAlign w:val="center"/>
            <w:hideMark/>
          </w:tcPr>
          <w:p w14:paraId="36721133"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2021/22</w:t>
            </w:r>
          </w:p>
        </w:tc>
        <w:tc>
          <w:tcPr>
            <w:tcW w:w="1465" w:type="dxa"/>
            <w:tcBorders>
              <w:top w:val="single" w:sz="8" w:space="0" w:color="auto"/>
              <w:left w:val="nil"/>
              <w:bottom w:val="single" w:sz="8" w:space="0" w:color="auto"/>
              <w:right w:val="single" w:sz="8" w:space="0" w:color="auto"/>
            </w:tcBorders>
            <w:shd w:val="clear" w:color="000000" w:fill="BFBFBF"/>
            <w:vAlign w:val="center"/>
            <w:hideMark/>
          </w:tcPr>
          <w:p w14:paraId="510AA60C"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2022/23</w:t>
            </w:r>
          </w:p>
        </w:tc>
      </w:tr>
      <w:tr w:rsidR="0093099B" w14:paraId="7C782337" w14:textId="77777777" w:rsidTr="00AC33E0">
        <w:trPr>
          <w:trHeight w:val="34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73542170"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2020/21 (£m)</w:t>
            </w:r>
          </w:p>
        </w:tc>
        <w:tc>
          <w:tcPr>
            <w:tcW w:w="1464" w:type="dxa"/>
            <w:tcBorders>
              <w:top w:val="nil"/>
              <w:left w:val="nil"/>
              <w:bottom w:val="single" w:sz="8" w:space="0" w:color="auto"/>
              <w:right w:val="single" w:sz="8" w:space="0" w:color="auto"/>
            </w:tcBorders>
            <w:shd w:val="clear" w:color="auto" w:fill="auto"/>
            <w:vAlign w:val="center"/>
            <w:hideMark/>
          </w:tcPr>
          <w:p w14:paraId="7D93C609"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5.895</w:t>
            </w:r>
          </w:p>
        </w:tc>
        <w:tc>
          <w:tcPr>
            <w:tcW w:w="1465" w:type="dxa"/>
            <w:tcBorders>
              <w:top w:val="nil"/>
              <w:left w:val="nil"/>
              <w:bottom w:val="single" w:sz="8" w:space="0" w:color="auto"/>
              <w:right w:val="single" w:sz="8" w:space="0" w:color="auto"/>
            </w:tcBorders>
            <w:shd w:val="clear" w:color="auto" w:fill="auto"/>
            <w:vAlign w:val="center"/>
            <w:hideMark/>
          </w:tcPr>
          <w:p w14:paraId="29214D51"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5.895</w:t>
            </w:r>
          </w:p>
        </w:tc>
        <w:tc>
          <w:tcPr>
            <w:tcW w:w="1465" w:type="dxa"/>
            <w:tcBorders>
              <w:top w:val="nil"/>
              <w:left w:val="nil"/>
              <w:bottom w:val="single" w:sz="8" w:space="0" w:color="auto"/>
              <w:right w:val="single" w:sz="8" w:space="0" w:color="auto"/>
            </w:tcBorders>
            <w:shd w:val="clear" w:color="auto" w:fill="auto"/>
            <w:vAlign w:val="center"/>
            <w:hideMark/>
          </w:tcPr>
          <w:p w14:paraId="7D9FF49D"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5.895</w:t>
            </w:r>
          </w:p>
        </w:tc>
      </w:tr>
      <w:tr w:rsidR="0093099B" w14:paraId="796121B0" w14:textId="77777777" w:rsidTr="00AC33E0">
        <w:trPr>
          <w:trHeight w:val="34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27EC02AC"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2021/22 (£m)</w:t>
            </w:r>
          </w:p>
        </w:tc>
        <w:tc>
          <w:tcPr>
            <w:tcW w:w="1464" w:type="dxa"/>
            <w:tcBorders>
              <w:top w:val="nil"/>
              <w:left w:val="nil"/>
              <w:bottom w:val="single" w:sz="8" w:space="0" w:color="auto"/>
              <w:right w:val="single" w:sz="8" w:space="0" w:color="auto"/>
            </w:tcBorders>
            <w:shd w:val="clear" w:color="auto" w:fill="auto"/>
            <w:vAlign w:val="center"/>
            <w:hideMark/>
          </w:tcPr>
          <w:p w14:paraId="242F468B"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465" w:type="dxa"/>
            <w:tcBorders>
              <w:top w:val="nil"/>
              <w:left w:val="nil"/>
              <w:bottom w:val="single" w:sz="8" w:space="0" w:color="auto"/>
              <w:right w:val="single" w:sz="8" w:space="0" w:color="auto"/>
            </w:tcBorders>
            <w:shd w:val="clear" w:color="auto" w:fill="auto"/>
            <w:vAlign w:val="center"/>
            <w:hideMark/>
          </w:tcPr>
          <w:p w14:paraId="44B215F7"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39.034</w:t>
            </w:r>
          </w:p>
        </w:tc>
        <w:tc>
          <w:tcPr>
            <w:tcW w:w="1465" w:type="dxa"/>
            <w:tcBorders>
              <w:top w:val="nil"/>
              <w:left w:val="nil"/>
              <w:bottom w:val="single" w:sz="8" w:space="0" w:color="auto"/>
              <w:right w:val="single" w:sz="8" w:space="0" w:color="auto"/>
            </w:tcBorders>
            <w:shd w:val="clear" w:color="auto" w:fill="auto"/>
            <w:vAlign w:val="center"/>
            <w:hideMark/>
          </w:tcPr>
          <w:p w14:paraId="7F018BE7"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39.034</w:t>
            </w:r>
          </w:p>
        </w:tc>
      </w:tr>
      <w:tr w:rsidR="0093099B" w14:paraId="7B68AFF0" w14:textId="77777777" w:rsidTr="00AC33E0">
        <w:trPr>
          <w:trHeight w:val="43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1E56580C"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2022/23 (£m)</w:t>
            </w:r>
          </w:p>
        </w:tc>
        <w:tc>
          <w:tcPr>
            <w:tcW w:w="1464" w:type="dxa"/>
            <w:tcBorders>
              <w:top w:val="nil"/>
              <w:left w:val="nil"/>
              <w:bottom w:val="single" w:sz="8" w:space="0" w:color="auto"/>
              <w:right w:val="single" w:sz="8" w:space="0" w:color="auto"/>
            </w:tcBorders>
            <w:shd w:val="clear" w:color="auto" w:fill="auto"/>
            <w:vAlign w:val="center"/>
            <w:hideMark/>
          </w:tcPr>
          <w:p w14:paraId="717C889E"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465" w:type="dxa"/>
            <w:tcBorders>
              <w:top w:val="nil"/>
              <w:left w:val="nil"/>
              <w:bottom w:val="single" w:sz="8" w:space="0" w:color="auto"/>
              <w:right w:val="single" w:sz="8" w:space="0" w:color="auto"/>
            </w:tcBorders>
            <w:shd w:val="clear" w:color="auto" w:fill="auto"/>
            <w:vAlign w:val="center"/>
            <w:hideMark/>
          </w:tcPr>
          <w:p w14:paraId="51920172"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465" w:type="dxa"/>
            <w:tcBorders>
              <w:top w:val="nil"/>
              <w:left w:val="nil"/>
              <w:bottom w:val="single" w:sz="8" w:space="0" w:color="auto"/>
              <w:right w:val="single" w:sz="8" w:space="0" w:color="auto"/>
            </w:tcBorders>
            <w:shd w:val="clear" w:color="auto" w:fill="auto"/>
            <w:vAlign w:val="center"/>
            <w:hideMark/>
          </w:tcPr>
          <w:p w14:paraId="694E498E"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19.826</w:t>
            </w:r>
          </w:p>
        </w:tc>
      </w:tr>
      <w:tr w:rsidR="0093099B" w14:paraId="1EDCDF13" w14:textId="77777777" w:rsidTr="00AC33E0">
        <w:trPr>
          <w:trHeight w:val="40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7A3284D8"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2023/24 (£m)</w:t>
            </w:r>
          </w:p>
        </w:tc>
        <w:tc>
          <w:tcPr>
            <w:tcW w:w="1464" w:type="dxa"/>
            <w:tcBorders>
              <w:top w:val="nil"/>
              <w:left w:val="nil"/>
              <w:bottom w:val="single" w:sz="8" w:space="0" w:color="auto"/>
              <w:right w:val="single" w:sz="8" w:space="0" w:color="auto"/>
            </w:tcBorders>
            <w:shd w:val="clear" w:color="auto" w:fill="auto"/>
            <w:vAlign w:val="center"/>
            <w:hideMark/>
          </w:tcPr>
          <w:p w14:paraId="7F1F39A4"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465" w:type="dxa"/>
            <w:tcBorders>
              <w:top w:val="nil"/>
              <w:left w:val="nil"/>
              <w:bottom w:val="single" w:sz="8" w:space="0" w:color="auto"/>
              <w:right w:val="single" w:sz="8" w:space="0" w:color="auto"/>
            </w:tcBorders>
            <w:shd w:val="clear" w:color="auto" w:fill="auto"/>
            <w:vAlign w:val="center"/>
            <w:hideMark/>
          </w:tcPr>
          <w:p w14:paraId="6BF34D6C"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465" w:type="dxa"/>
            <w:tcBorders>
              <w:top w:val="nil"/>
              <w:left w:val="nil"/>
              <w:bottom w:val="single" w:sz="8" w:space="0" w:color="auto"/>
              <w:right w:val="single" w:sz="8" w:space="0" w:color="auto"/>
            </w:tcBorders>
            <w:shd w:val="clear" w:color="auto" w:fill="auto"/>
            <w:vAlign w:val="center"/>
            <w:hideMark/>
          </w:tcPr>
          <w:p w14:paraId="6FEE2A62"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r>
      <w:tr w:rsidR="0093099B" w14:paraId="2C457959" w14:textId="77777777" w:rsidTr="00AC33E0">
        <w:trPr>
          <w:trHeight w:val="330"/>
        </w:trPr>
        <w:tc>
          <w:tcPr>
            <w:tcW w:w="5519" w:type="dxa"/>
            <w:tcBorders>
              <w:top w:val="nil"/>
              <w:left w:val="single" w:sz="8" w:space="0" w:color="auto"/>
              <w:bottom w:val="single" w:sz="8" w:space="0" w:color="auto"/>
              <w:right w:val="single" w:sz="8" w:space="0" w:color="auto"/>
            </w:tcBorders>
            <w:shd w:val="clear" w:color="000000" w:fill="BFBFBF"/>
            <w:vAlign w:val="center"/>
            <w:hideMark/>
          </w:tcPr>
          <w:p w14:paraId="1A669DEB"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 xml:space="preserve">Total </w:t>
            </w:r>
          </w:p>
        </w:tc>
        <w:tc>
          <w:tcPr>
            <w:tcW w:w="1464" w:type="dxa"/>
            <w:tcBorders>
              <w:top w:val="nil"/>
              <w:left w:val="nil"/>
              <w:bottom w:val="single" w:sz="8" w:space="0" w:color="auto"/>
              <w:right w:val="single" w:sz="8" w:space="0" w:color="auto"/>
            </w:tcBorders>
            <w:shd w:val="clear" w:color="000000" w:fill="BFBFBF"/>
            <w:vAlign w:val="center"/>
            <w:hideMark/>
          </w:tcPr>
          <w:p w14:paraId="6DC4F4D2"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5.895</w:t>
            </w:r>
          </w:p>
        </w:tc>
        <w:tc>
          <w:tcPr>
            <w:tcW w:w="1465" w:type="dxa"/>
            <w:tcBorders>
              <w:top w:val="nil"/>
              <w:left w:val="nil"/>
              <w:bottom w:val="single" w:sz="8" w:space="0" w:color="auto"/>
              <w:right w:val="single" w:sz="8" w:space="0" w:color="auto"/>
            </w:tcBorders>
            <w:shd w:val="clear" w:color="000000" w:fill="BFBFBF"/>
            <w:vAlign w:val="center"/>
            <w:hideMark/>
          </w:tcPr>
          <w:p w14:paraId="37F0FBD3"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44.928</w:t>
            </w:r>
          </w:p>
        </w:tc>
        <w:tc>
          <w:tcPr>
            <w:tcW w:w="1465" w:type="dxa"/>
            <w:tcBorders>
              <w:top w:val="nil"/>
              <w:left w:val="nil"/>
              <w:bottom w:val="single" w:sz="8" w:space="0" w:color="auto"/>
              <w:right w:val="single" w:sz="8" w:space="0" w:color="auto"/>
            </w:tcBorders>
            <w:shd w:val="clear" w:color="000000" w:fill="BFBFBF"/>
            <w:vAlign w:val="center"/>
            <w:hideMark/>
          </w:tcPr>
          <w:p w14:paraId="32F997E8"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64.755</w:t>
            </w:r>
          </w:p>
        </w:tc>
      </w:tr>
      <w:tr w:rsidR="0093099B" w14:paraId="6C0C8A97" w14:textId="77777777" w:rsidTr="00AC33E0">
        <w:trPr>
          <w:trHeight w:val="330"/>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04D0B8D"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 </w:t>
            </w:r>
          </w:p>
        </w:tc>
        <w:tc>
          <w:tcPr>
            <w:tcW w:w="1464" w:type="dxa"/>
            <w:tcBorders>
              <w:top w:val="nil"/>
              <w:left w:val="nil"/>
              <w:bottom w:val="single" w:sz="8" w:space="0" w:color="auto"/>
              <w:right w:val="single" w:sz="8" w:space="0" w:color="auto"/>
            </w:tcBorders>
            <w:shd w:val="clear" w:color="auto" w:fill="auto"/>
            <w:vAlign w:val="center"/>
            <w:hideMark/>
          </w:tcPr>
          <w:p w14:paraId="26C0C6E3"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465" w:type="dxa"/>
            <w:tcBorders>
              <w:top w:val="nil"/>
              <w:left w:val="nil"/>
              <w:bottom w:val="single" w:sz="8" w:space="0" w:color="auto"/>
              <w:right w:val="single" w:sz="8" w:space="0" w:color="auto"/>
            </w:tcBorders>
            <w:shd w:val="clear" w:color="auto" w:fill="auto"/>
            <w:vAlign w:val="center"/>
            <w:hideMark/>
          </w:tcPr>
          <w:p w14:paraId="4C9AC1D1"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c>
          <w:tcPr>
            <w:tcW w:w="1465" w:type="dxa"/>
            <w:tcBorders>
              <w:top w:val="nil"/>
              <w:left w:val="nil"/>
              <w:bottom w:val="single" w:sz="8" w:space="0" w:color="auto"/>
              <w:right w:val="single" w:sz="8" w:space="0" w:color="auto"/>
            </w:tcBorders>
            <w:shd w:val="clear" w:color="auto" w:fill="auto"/>
            <w:vAlign w:val="center"/>
            <w:hideMark/>
          </w:tcPr>
          <w:p w14:paraId="680A3E7F"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 </w:t>
            </w:r>
          </w:p>
        </w:tc>
      </w:tr>
      <w:tr w:rsidR="0093099B" w14:paraId="4FAC8E3A" w14:textId="77777777" w:rsidTr="00AC33E0">
        <w:trPr>
          <w:trHeight w:val="37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82DB7BF"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Previous position (£m)</w:t>
            </w:r>
          </w:p>
        </w:tc>
        <w:tc>
          <w:tcPr>
            <w:tcW w:w="1464" w:type="dxa"/>
            <w:tcBorders>
              <w:top w:val="nil"/>
              <w:left w:val="nil"/>
              <w:bottom w:val="single" w:sz="8" w:space="0" w:color="auto"/>
              <w:right w:val="single" w:sz="8" w:space="0" w:color="auto"/>
            </w:tcBorders>
            <w:shd w:val="clear" w:color="auto" w:fill="auto"/>
            <w:vAlign w:val="center"/>
            <w:hideMark/>
          </w:tcPr>
          <w:p w14:paraId="4CEEDBA6"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30.370</w:t>
            </w:r>
          </w:p>
        </w:tc>
        <w:tc>
          <w:tcPr>
            <w:tcW w:w="1465" w:type="dxa"/>
            <w:tcBorders>
              <w:top w:val="nil"/>
              <w:left w:val="nil"/>
              <w:bottom w:val="single" w:sz="8" w:space="0" w:color="auto"/>
              <w:right w:val="single" w:sz="8" w:space="0" w:color="auto"/>
            </w:tcBorders>
            <w:shd w:val="clear" w:color="auto" w:fill="auto"/>
            <w:vAlign w:val="center"/>
            <w:hideMark/>
          </w:tcPr>
          <w:p w14:paraId="026D512A"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35.888</w:t>
            </w:r>
          </w:p>
        </w:tc>
        <w:tc>
          <w:tcPr>
            <w:tcW w:w="1465" w:type="dxa"/>
            <w:tcBorders>
              <w:top w:val="nil"/>
              <w:left w:val="nil"/>
              <w:bottom w:val="single" w:sz="8" w:space="0" w:color="auto"/>
              <w:right w:val="single" w:sz="8" w:space="0" w:color="auto"/>
            </w:tcBorders>
            <w:shd w:val="clear" w:color="auto" w:fill="auto"/>
            <w:vAlign w:val="center"/>
            <w:hideMark/>
          </w:tcPr>
          <w:p w14:paraId="36CF7447" w14:textId="77777777" w:rsidR="00AC33E0" w:rsidRPr="00615292" w:rsidRDefault="00AC33E0" w:rsidP="00AC33E0">
            <w:pPr>
              <w:autoSpaceDE/>
              <w:autoSpaceDN/>
              <w:adjustRightInd/>
              <w:spacing w:after="0"/>
              <w:jc w:val="right"/>
              <w:rPr>
                <w:rFonts w:eastAsia="Times New Roman" w:cs="Arial"/>
                <w:lang w:eastAsia="en-GB"/>
              </w:rPr>
            </w:pPr>
            <w:r w:rsidRPr="00615292">
              <w:rPr>
                <w:rFonts w:eastAsia="Times New Roman" w:cs="Arial"/>
                <w:lang w:eastAsia="en-GB"/>
              </w:rPr>
              <w:t>47.326</w:t>
            </w:r>
          </w:p>
        </w:tc>
      </w:tr>
      <w:tr w:rsidR="0093099B" w14:paraId="18692593" w14:textId="77777777" w:rsidTr="00AC33E0">
        <w:trPr>
          <w:trHeight w:val="360"/>
        </w:trPr>
        <w:tc>
          <w:tcPr>
            <w:tcW w:w="5519" w:type="dxa"/>
            <w:tcBorders>
              <w:top w:val="nil"/>
              <w:left w:val="single" w:sz="8" w:space="0" w:color="auto"/>
              <w:bottom w:val="single" w:sz="8" w:space="0" w:color="auto"/>
              <w:right w:val="single" w:sz="8" w:space="0" w:color="auto"/>
            </w:tcBorders>
            <w:shd w:val="clear" w:color="000000" w:fill="BFBFBF"/>
            <w:vAlign w:val="center"/>
            <w:hideMark/>
          </w:tcPr>
          <w:p w14:paraId="29D92E06" w14:textId="77777777" w:rsidR="00AC33E0" w:rsidRPr="00615292" w:rsidRDefault="00AC33E0" w:rsidP="00AC33E0">
            <w:pPr>
              <w:autoSpaceDE/>
              <w:autoSpaceDN/>
              <w:adjustRightInd/>
              <w:spacing w:after="0"/>
              <w:jc w:val="left"/>
              <w:rPr>
                <w:rFonts w:eastAsia="Times New Roman" w:cs="Arial"/>
                <w:b/>
                <w:bCs/>
                <w:lang w:eastAsia="en-GB"/>
              </w:rPr>
            </w:pPr>
            <w:r w:rsidRPr="00615292">
              <w:rPr>
                <w:rFonts w:eastAsia="Times New Roman" w:cs="Arial"/>
                <w:b/>
                <w:bCs/>
                <w:lang w:eastAsia="en-GB"/>
              </w:rPr>
              <w:t>Variance (£m)</w:t>
            </w:r>
          </w:p>
        </w:tc>
        <w:tc>
          <w:tcPr>
            <w:tcW w:w="1464" w:type="dxa"/>
            <w:tcBorders>
              <w:top w:val="nil"/>
              <w:left w:val="nil"/>
              <w:bottom w:val="single" w:sz="8" w:space="0" w:color="auto"/>
              <w:right w:val="single" w:sz="8" w:space="0" w:color="auto"/>
            </w:tcBorders>
            <w:shd w:val="clear" w:color="000000" w:fill="BFBFBF"/>
            <w:vAlign w:val="center"/>
            <w:hideMark/>
          </w:tcPr>
          <w:p w14:paraId="0BC765B0"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-24.475</w:t>
            </w:r>
          </w:p>
        </w:tc>
        <w:tc>
          <w:tcPr>
            <w:tcW w:w="1465" w:type="dxa"/>
            <w:tcBorders>
              <w:top w:val="nil"/>
              <w:left w:val="nil"/>
              <w:bottom w:val="single" w:sz="8" w:space="0" w:color="auto"/>
              <w:right w:val="single" w:sz="8" w:space="0" w:color="auto"/>
            </w:tcBorders>
            <w:shd w:val="clear" w:color="000000" w:fill="BFBFBF"/>
            <w:vAlign w:val="center"/>
            <w:hideMark/>
          </w:tcPr>
          <w:p w14:paraId="7B94CBAE"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9.040</w:t>
            </w:r>
          </w:p>
        </w:tc>
        <w:tc>
          <w:tcPr>
            <w:tcW w:w="1465" w:type="dxa"/>
            <w:tcBorders>
              <w:top w:val="nil"/>
              <w:left w:val="nil"/>
              <w:bottom w:val="single" w:sz="8" w:space="0" w:color="auto"/>
              <w:right w:val="single" w:sz="8" w:space="0" w:color="auto"/>
            </w:tcBorders>
            <w:shd w:val="clear" w:color="000000" w:fill="BFBFBF"/>
            <w:vAlign w:val="center"/>
            <w:hideMark/>
          </w:tcPr>
          <w:p w14:paraId="1656BBA3" w14:textId="77777777" w:rsidR="00AC33E0" w:rsidRPr="00615292" w:rsidRDefault="00AC33E0" w:rsidP="00AC33E0">
            <w:pPr>
              <w:autoSpaceDE/>
              <w:autoSpaceDN/>
              <w:adjustRightInd/>
              <w:spacing w:after="0"/>
              <w:jc w:val="right"/>
              <w:rPr>
                <w:rFonts w:eastAsia="Times New Roman" w:cs="Arial"/>
                <w:b/>
                <w:bCs/>
                <w:lang w:eastAsia="en-GB"/>
              </w:rPr>
            </w:pPr>
            <w:r w:rsidRPr="00615292">
              <w:rPr>
                <w:rFonts w:eastAsia="Times New Roman" w:cs="Arial"/>
                <w:b/>
                <w:bCs/>
                <w:lang w:eastAsia="en-GB"/>
              </w:rPr>
              <w:t>17.429</w:t>
            </w:r>
          </w:p>
        </w:tc>
      </w:tr>
    </w:tbl>
    <w:p w14:paraId="14D32536" w14:textId="77777777" w:rsidR="00AC33E0" w:rsidRPr="009C69DC" w:rsidRDefault="00AC33E0" w:rsidP="00AC33E0">
      <w:pPr>
        <w:tabs>
          <w:tab w:val="left" w:pos="567"/>
          <w:tab w:val="left" w:pos="1134"/>
        </w:tabs>
        <w:spacing w:after="0"/>
        <w:rPr>
          <w:rFonts w:cs="Arial"/>
          <w:b/>
          <w:i/>
          <w:highlight w:val="yellow"/>
          <w:u w:val="single"/>
        </w:rPr>
      </w:pPr>
    </w:p>
    <w:p w14:paraId="034753ED" w14:textId="77777777" w:rsidR="00AC33E0" w:rsidRPr="009C69DC" w:rsidRDefault="00AC33E0" w:rsidP="00AC33E0">
      <w:pPr>
        <w:spacing w:after="0"/>
        <w:rPr>
          <w:rFonts w:cs="Arial"/>
          <w:highlight w:val="yellow"/>
        </w:rPr>
      </w:pPr>
      <w:r w:rsidRPr="003A675D">
        <w:rPr>
          <w:rFonts w:cs="Arial"/>
        </w:rPr>
        <w:lastRenderedPageBreak/>
        <w:t xml:space="preserve">The graph below demonstrates the drivers that make up the changes in the financial gap from £10m carried forward from 2019/20 to the </w:t>
      </w:r>
      <w:r w:rsidRPr="00F803EF">
        <w:rPr>
          <w:rFonts w:cs="Arial"/>
        </w:rPr>
        <w:t xml:space="preserve">cumulative position of </w:t>
      </w:r>
      <w:r>
        <w:rPr>
          <w:rFonts w:cs="Arial"/>
        </w:rPr>
        <w:t>£65</w:t>
      </w:r>
      <w:r w:rsidRPr="00F803EF">
        <w:rPr>
          <w:rFonts w:cs="Arial"/>
        </w:rPr>
        <w:t>m in the</w:t>
      </w:r>
      <w:r w:rsidRPr="003A675D">
        <w:rPr>
          <w:rFonts w:cs="Arial"/>
        </w:rPr>
        <w:t xml:space="preserve"> financial year </w:t>
      </w:r>
      <w:r>
        <w:rPr>
          <w:rFonts w:cs="Arial"/>
        </w:rPr>
        <w:t>2022/23</w:t>
      </w:r>
      <w:r w:rsidRPr="003A675D">
        <w:rPr>
          <w:rFonts w:cs="Arial"/>
        </w:rPr>
        <w:t xml:space="preserve"> as shown in the table above:</w:t>
      </w:r>
    </w:p>
    <w:p w14:paraId="626B4D43" w14:textId="77777777" w:rsidR="00AC33E0" w:rsidRPr="009C69DC" w:rsidRDefault="00AC33E0" w:rsidP="00AC33E0">
      <w:pPr>
        <w:spacing w:after="0"/>
        <w:rPr>
          <w:rFonts w:cs="Arial"/>
          <w:highlight w:val="yellow"/>
        </w:rPr>
      </w:pPr>
    </w:p>
    <w:p w14:paraId="497FFCF3" w14:textId="77777777" w:rsidR="00AC33E0" w:rsidRPr="009C69DC" w:rsidRDefault="00AC33E0" w:rsidP="00AC33E0">
      <w:pPr>
        <w:spacing w:after="0"/>
        <w:rPr>
          <w:rFonts w:cs="Arial"/>
          <w:highlight w:val="yellow"/>
        </w:rPr>
      </w:pPr>
    </w:p>
    <w:p w14:paraId="4E17DF8D" w14:textId="228F4E7D" w:rsidR="00AC33E0" w:rsidRPr="00DD0710" w:rsidRDefault="00713660" w:rsidP="00AC33E0">
      <w:pPr>
        <w:spacing w:after="0"/>
        <w:rPr>
          <w:rFonts w:cs="Arial"/>
          <w:b/>
        </w:rPr>
      </w:pPr>
      <w:r>
        <w:rPr>
          <w:rFonts w:cs="Arial"/>
          <w:b/>
          <w:noProof/>
          <w:lang w:eastAsia="en-GB"/>
        </w:rPr>
        <w:drawing>
          <wp:inline distT="0" distB="0" distL="0" distR="0" wp14:anchorId="42807B30" wp14:editId="46832CE3">
            <wp:extent cx="6251856" cy="426674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725" cy="4270746"/>
                    </a:xfrm>
                    <a:prstGeom prst="rect">
                      <a:avLst/>
                    </a:prstGeom>
                    <a:noFill/>
                  </pic:spPr>
                </pic:pic>
              </a:graphicData>
            </a:graphic>
          </wp:inline>
        </w:drawing>
      </w:r>
    </w:p>
    <w:p w14:paraId="04E805EF" w14:textId="77777777" w:rsidR="00AC33E0" w:rsidRPr="009C69DC" w:rsidRDefault="00AC33E0" w:rsidP="00AC33E0">
      <w:pPr>
        <w:spacing w:after="0"/>
        <w:rPr>
          <w:rFonts w:cs="Arial"/>
          <w:b/>
          <w:highlight w:val="yellow"/>
        </w:rPr>
      </w:pPr>
    </w:p>
    <w:p w14:paraId="54384FE7" w14:textId="77777777" w:rsidR="00AC33E0" w:rsidRPr="009C69DC" w:rsidRDefault="00AC33E0" w:rsidP="00AC33E0">
      <w:pPr>
        <w:spacing w:after="0"/>
        <w:rPr>
          <w:rFonts w:cs="Arial"/>
          <w:b/>
          <w:highlight w:val="yellow"/>
        </w:rPr>
      </w:pPr>
    </w:p>
    <w:p w14:paraId="0F5E45F6" w14:textId="77777777" w:rsidR="00AC33E0" w:rsidRPr="009C69DC" w:rsidRDefault="00AC33E0" w:rsidP="00AC33E0">
      <w:pPr>
        <w:spacing w:after="0"/>
        <w:rPr>
          <w:rFonts w:cs="Arial"/>
          <w:b/>
          <w:highlight w:val="yellow"/>
        </w:rPr>
      </w:pPr>
    </w:p>
    <w:p w14:paraId="2EAE9734" w14:textId="77777777" w:rsidR="00AC33E0" w:rsidRPr="009C69DC" w:rsidRDefault="00AC33E0" w:rsidP="00AC33E0">
      <w:pPr>
        <w:spacing w:after="0"/>
        <w:rPr>
          <w:rFonts w:cs="Arial"/>
          <w:b/>
          <w:highlight w:val="yellow"/>
        </w:rPr>
      </w:pPr>
    </w:p>
    <w:p w14:paraId="7AEB7F80" w14:textId="77777777" w:rsidR="00AC33E0" w:rsidRPr="009C69DC" w:rsidRDefault="00AC33E0" w:rsidP="00AC33E0">
      <w:pPr>
        <w:spacing w:after="0"/>
        <w:rPr>
          <w:rFonts w:cs="Arial"/>
          <w:b/>
          <w:highlight w:val="yellow"/>
        </w:rPr>
      </w:pPr>
    </w:p>
    <w:p w14:paraId="37875AFF" w14:textId="77777777" w:rsidR="00AC33E0" w:rsidRPr="009C69DC" w:rsidRDefault="00AC33E0" w:rsidP="00AC33E0">
      <w:pPr>
        <w:spacing w:after="0"/>
        <w:rPr>
          <w:rFonts w:cs="Arial"/>
          <w:b/>
          <w:highlight w:val="yellow"/>
        </w:rPr>
      </w:pPr>
    </w:p>
    <w:p w14:paraId="5EBAA819" w14:textId="77777777" w:rsidR="00AC33E0" w:rsidRPr="009C69DC" w:rsidRDefault="00AC33E0" w:rsidP="00AC33E0">
      <w:pPr>
        <w:spacing w:after="0"/>
        <w:rPr>
          <w:rFonts w:cs="Arial"/>
          <w:b/>
          <w:highlight w:val="yellow"/>
        </w:rPr>
      </w:pPr>
    </w:p>
    <w:p w14:paraId="39CFC184" w14:textId="77777777" w:rsidR="00AC33E0" w:rsidRPr="009C69DC" w:rsidRDefault="00AC33E0" w:rsidP="00AC33E0">
      <w:pPr>
        <w:spacing w:after="0"/>
        <w:rPr>
          <w:rFonts w:cs="Arial"/>
          <w:b/>
          <w:highlight w:val="yellow"/>
        </w:rPr>
      </w:pPr>
    </w:p>
    <w:p w14:paraId="723FB726" w14:textId="77777777" w:rsidR="00AC33E0" w:rsidRPr="009C69DC" w:rsidRDefault="00AC33E0" w:rsidP="00AC33E0">
      <w:pPr>
        <w:spacing w:after="0"/>
        <w:rPr>
          <w:rFonts w:cs="Arial"/>
          <w:b/>
          <w:highlight w:val="yellow"/>
        </w:rPr>
      </w:pPr>
    </w:p>
    <w:p w14:paraId="1162109D" w14:textId="77777777" w:rsidR="00AC33E0" w:rsidRPr="009C69DC" w:rsidRDefault="00AC33E0" w:rsidP="00AC33E0">
      <w:pPr>
        <w:spacing w:after="0"/>
        <w:rPr>
          <w:rFonts w:cs="Arial"/>
          <w:b/>
          <w:highlight w:val="yellow"/>
        </w:rPr>
      </w:pPr>
    </w:p>
    <w:p w14:paraId="7A240869" w14:textId="77777777" w:rsidR="00AC33E0" w:rsidRPr="009C69DC" w:rsidRDefault="00AC33E0" w:rsidP="00AC33E0">
      <w:pPr>
        <w:spacing w:after="0"/>
        <w:rPr>
          <w:rFonts w:cs="Arial"/>
          <w:b/>
          <w:highlight w:val="yellow"/>
        </w:rPr>
      </w:pPr>
    </w:p>
    <w:p w14:paraId="536398E2" w14:textId="77777777" w:rsidR="00AC33E0" w:rsidRPr="009C69DC" w:rsidRDefault="00AC33E0" w:rsidP="00AC33E0">
      <w:pPr>
        <w:spacing w:after="0"/>
        <w:rPr>
          <w:rFonts w:cs="Arial"/>
          <w:b/>
          <w:highlight w:val="yellow"/>
        </w:rPr>
      </w:pPr>
    </w:p>
    <w:p w14:paraId="2EECEFF1" w14:textId="77777777" w:rsidR="00AC33E0" w:rsidRPr="009C69DC" w:rsidRDefault="00AC33E0" w:rsidP="00AC33E0">
      <w:pPr>
        <w:spacing w:after="0"/>
        <w:rPr>
          <w:rFonts w:cs="Arial"/>
          <w:b/>
          <w:highlight w:val="yellow"/>
        </w:rPr>
      </w:pPr>
    </w:p>
    <w:p w14:paraId="52BDC239" w14:textId="77777777" w:rsidR="00AC33E0" w:rsidRPr="009C69DC" w:rsidRDefault="00AC33E0" w:rsidP="00AC33E0">
      <w:pPr>
        <w:tabs>
          <w:tab w:val="left" w:pos="567"/>
          <w:tab w:val="left" w:pos="1134"/>
        </w:tabs>
        <w:spacing w:after="0"/>
        <w:rPr>
          <w:rFonts w:cs="Arial"/>
          <w:b/>
          <w:highlight w:val="yellow"/>
        </w:rPr>
      </w:pPr>
    </w:p>
    <w:p w14:paraId="54D0DE18" w14:textId="77777777" w:rsidR="00AC33E0" w:rsidRPr="009C69DC" w:rsidRDefault="00AC33E0" w:rsidP="00AC33E0">
      <w:pPr>
        <w:tabs>
          <w:tab w:val="left" w:pos="567"/>
          <w:tab w:val="left" w:pos="1134"/>
        </w:tabs>
        <w:spacing w:after="0"/>
        <w:rPr>
          <w:rFonts w:cs="Arial"/>
          <w:b/>
          <w:highlight w:val="yellow"/>
        </w:rPr>
      </w:pPr>
    </w:p>
    <w:p w14:paraId="6BE5334E" w14:textId="77777777" w:rsidR="00AC33E0" w:rsidRPr="009C69DC" w:rsidRDefault="00AC33E0" w:rsidP="00AC33E0">
      <w:pPr>
        <w:tabs>
          <w:tab w:val="left" w:pos="567"/>
          <w:tab w:val="left" w:pos="1134"/>
        </w:tabs>
        <w:spacing w:after="0"/>
        <w:rPr>
          <w:rFonts w:cs="Arial"/>
          <w:b/>
          <w:highlight w:val="yellow"/>
        </w:rPr>
      </w:pPr>
    </w:p>
    <w:p w14:paraId="52EE2973" w14:textId="77777777" w:rsidR="00AC33E0" w:rsidRPr="009C69DC" w:rsidRDefault="00AC33E0" w:rsidP="00AC33E0">
      <w:pPr>
        <w:tabs>
          <w:tab w:val="left" w:pos="567"/>
          <w:tab w:val="left" w:pos="1134"/>
        </w:tabs>
        <w:spacing w:after="0"/>
        <w:rPr>
          <w:rFonts w:cs="Arial"/>
          <w:b/>
          <w:highlight w:val="yellow"/>
        </w:rPr>
      </w:pPr>
    </w:p>
    <w:p w14:paraId="15B91332" w14:textId="77777777" w:rsidR="00AC33E0" w:rsidRPr="009C69DC" w:rsidRDefault="00AC33E0" w:rsidP="00AC33E0">
      <w:pPr>
        <w:tabs>
          <w:tab w:val="left" w:pos="567"/>
          <w:tab w:val="left" w:pos="1134"/>
        </w:tabs>
        <w:spacing w:after="0"/>
        <w:rPr>
          <w:rFonts w:cs="Arial"/>
          <w:b/>
          <w:highlight w:val="yellow"/>
        </w:rPr>
      </w:pPr>
    </w:p>
    <w:p w14:paraId="782226A6" w14:textId="77777777" w:rsidR="00AC33E0" w:rsidRPr="009C69DC" w:rsidRDefault="00AC33E0" w:rsidP="00AC33E0">
      <w:pPr>
        <w:tabs>
          <w:tab w:val="left" w:pos="567"/>
          <w:tab w:val="left" w:pos="1134"/>
        </w:tabs>
        <w:spacing w:after="0"/>
        <w:rPr>
          <w:rFonts w:cs="Arial"/>
          <w:b/>
          <w:highlight w:val="yellow"/>
        </w:rPr>
      </w:pPr>
    </w:p>
    <w:p w14:paraId="5131A511" w14:textId="77777777" w:rsidR="00AC33E0" w:rsidRDefault="00AC33E0" w:rsidP="00AC33E0">
      <w:pPr>
        <w:tabs>
          <w:tab w:val="left" w:pos="567"/>
          <w:tab w:val="left" w:pos="1134"/>
        </w:tabs>
        <w:spacing w:after="0"/>
        <w:rPr>
          <w:rFonts w:cs="Arial"/>
          <w:b/>
          <w:highlight w:val="yellow"/>
        </w:rPr>
      </w:pPr>
    </w:p>
    <w:p w14:paraId="78965344" w14:textId="77777777" w:rsidR="00AC33E0" w:rsidRPr="009C69DC" w:rsidRDefault="00AC33E0" w:rsidP="00AC33E0">
      <w:pPr>
        <w:tabs>
          <w:tab w:val="left" w:pos="567"/>
          <w:tab w:val="left" w:pos="1134"/>
        </w:tabs>
        <w:spacing w:after="0"/>
        <w:rPr>
          <w:rFonts w:cs="Arial"/>
          <w:b/>
          <w:highlight w:val="yellow"/>
        </w:rPr>
      </w:pPr>
    </w:p>
    <w:p w14:paraId="3A054C98" w14:textId="77777777" w:rsidR="00AC33E0" w:rsidRPr="00B622CD" w:rsidRDefault="00AC33E0" w:rsidP="00AC33E0">
      <w:pPr>
        <w:tabs>
          <w:tab w:val="left" w:pos="567"/>
          <w:tab w:val="left" w:pos="1134"/>
        </w:tabs>
        <w:spacing w:after="0"/>
        <w:rPr>
          <w:rFonts w:cs="Arial"/>
          <w:b/>
        </w:rPr>
      </w:pPr>
      <w:r w:rsidRPr="00B622CD">
        <w:rPr>
          <w:rFonts w:cs="Arial"/>
          <w:b/>
        </w:rPr>
        <w:lastRenderedPageBreak/>
        <w:t>2. Funding</w:t>
      </w:r>
    </w:p>
    <w:p w14:paraId="7858247A" w14:textId="77777777" w:rsidR="00AC33E0" w:rsidRPr="00B622CD" w:rsidRDefault="00AC33E0" w:rsidP="00AC33E0">
      <w:pPr>
        <w:tabs>
          <w:tab w:val="left" w:pos="567"/>
          <w:tab w:val="left" w:pos="1134"/>
        </w:tabs>
        <w:spacing w:after="0"/>
        <w:rPr>
          <w:rFonts w:cs="Arial"/>
          <w:b/>
        </w:rPr>
      </w:pPr>
    </w:p>
    <w:p w14:paraId="687C648A" w14:textId="77777777" w:rsidR="00AC33E0" w:rsidRPr="009C69DC" w:rsidRDefault="00AC33E0" w:rsidP="00AC33E0">
      <w:pPr>
        <w:tabs>
          <w:tab w:val="left" w:pos="567"/>
          <w:tab w:val="left" w:pos="1134"/>
        </w:tabs>
        <w:spacing w:after="0"/>
        <w:rPr>
          <w:rFonts w:cs="Arial"/>
          <w:highlight w:val="yellow"/>
        </w:rPr>
      </w:pPr>
      <w:r w:rsidRPr="00B622CD">
        <w:rPr>
          <w:rFonts w:cs="Arial"/>
        </w:rPr>
        <w:t>The funding included within this report reflects the final settlement for 2019/20 that was announced on 29th January 2019.  As there are new models of funding proposed from 2020/21 due to the implementation of business rates retention and a new funding formula there are no funding levels confirmed post 2019/20. Assumptions have therefore been made for funding levels from 2020/21 – 202</w:t>
      </w:r>
      <w:r>
        <w:rPr>
          <w:rFonts w:cs="Arial"/>
        </w:rPr>
        <w:t>2</w:t>
      </w:r>
      <w:r w:rsidRPr="00B622CD">
        <w:rPr>
          <w:rFonts w:cs="Arial"/>
        </w:rPr>
        <w:t>/2</w:t>
      </w:r>
      <w:r>
        <w:rPr>
          <w:rFonts w:cs="Arial"/>
        </w:rPr>
        <w:t>3</w:t>
      </w:r>
      <w:r w:rsidRPr="00B622CD">
        <w:rPr>
          <w:rFonts w:cs="Arial"/>
        </w:rPr>
        <w:t xml:space="preserve"> that are detailed within this report. </w:t>
      </w:r>
    </w:p>
    <w:p w14:paraId="0729E4AB" w14:textId="77777777" w:rsidR="00AC33E0" w:rsidRDefault="00AC33E0" w:rsidP="00AC33E0">
      <w:pPr>
        <w:tabs>
          <w:tab w:val="left" w:pos="567"/>
          <w:tab w:val="left" w:pos="1134"/>
        </w:tabs>
        <w:spacing w:after="0"/>
        <w:rPr>
          <w:rFonts w:cs="Arial"/>
          <w:highlight w:val="yellow"/>
        </w:rPr>
      </w:pPr>
    </w:p>
    <w:p w14:paraId="6D362220" w14:textId="77777777" w:rsidR="00AC33E0" w:rsidRDefault="00AC33E0" w:rsidP="00AC33E0">
      <w:pPr>
        <w:tabs>
          <w:tab w:val="left" w:pos="567"/>
          <w:tab w:val="left" w:pos="1134"/>
        </w:tabs>
        <w:spacing w:after="0"/>
        <w:rPr>
          <w:rFonts w:cs="Arial"/>
          <w:b/>
        </w:rPr>
      </w:pPr>
      <w:r>
        <w:rPr>
          <w:rFonts w:cs="Arial"/>
          <w:b/>
        </w:rPr>
        <w:t>Spending Review, Fair Funding Formula and 75% business rates retention</w:t>
      </w:r>
    </w:p>
    <w:p w14:paraId="50C813B2" w14:textId="77777777" w:rsidR="00AC33E0" w:rsidRPr="002B2247" w:rsidRDefault="00AC33E0" w:rsidP="00AC33E0">
      <w:pPr>
        <w:tabs>
          <w:tab w:val="left" w:pos="567"/>
          <w:tab w:val="left" w:pos="1134"/>
        </w:tabs>
        <w:spacing w:after="0"/>
        <w:rPr>
          <w:rFonts w:cs="Arial"/>
          <w:highlight w:val="yellow"/>
        </w:rPr>
      </w:pPr>
    </w:p>
    <w:p w14:paraId="26A86710" w14:textId="004B448F" w:rsidR="00AC33E0" w:rsidRDefault="00AC33E0" w:rsidP="00AC33E0">
      <w:pPr>
        <w:tabs>
          <w:tab w:val="left" w:pos="567"/>
          <w:tab w:val="left" w:pos="1134"/>
        </w:tabs>
        <w:spacing w:after="0"/>
        <w:rPr>
          <w:rFonts w:cs="Arial"/>
        </w:rPr>
      </w:pPr>
      <w:r>
        <w:rPr>
          <w:rFonts w:cs="Arial"/>
        </w:rPr>
        <w:t xml:space="preserve">At the time of writing this report the implementation date for </w:t>
      </w:r>
      <w:r w:rsidRPr="008F73F4">
        <w:rPr>
          <w:rFonts w:cs="Arial"/>
        </w:rPr>
        <w:t>a new system of local government finan</w:t>
      </w:r>
      <w:r>
        <w:rPr>
          <w:rFonts w:cs="Arial"/>
        </w:rPr>
        <w:t>ce, the "fair funding formula"</w:t>
      </w:r>
      <w:r w:rsidR="005B099C">
        <w:rPr>
          <w:rFonts w:cs="Arial"/>
        </w:rPr>
        <w:t>,</w:t>
      </w:r>
      <w:r>
        <w:rPr>
          <w:rFonts w:cs="Arial"/>
        </w:rPr>
        <w:t xml:space="preserve"> is officially still scheduled for</w:t>
      </w:r>
      <w:r w:rsidRPr="008F73F4">
        <w:rPr>
          <w:rFonts w:cs="Arial"/>
        </w:rPr>
        <w:t xml:space="preserve"> 2020/21 </w:t>
      </w:r>
      <w:r w:rsidR="0077467F">
        <w:rPr>
          <w:rFonts w:cs="Arial"/>
        </w:rPr>
        <w:t>and</w:t>
      </w:r>
      <w:r w:rsidR="0077467F" w:rsidRPr="008F73F4">
        <w:rPr>
          <w:rFonts w:cs="Arial"/>
        </w:rPr>
        <w:t xml:space="preserve"> </w:t>
      </w:r>
      <w:r w:rsidRPr="008F73F4">
        <w:rPr>
          <w:rFonts w:cs="Arial"/>
        </w:rPr>
        <w:t xml:space="preserve">involves local government retaining 75% of the business rates </w:t>
      </w:r>
      <w:r>
        <w:rPr>
          <w:rFonts w:cs="Arial"/>
        </w:rPr>
        <w:t xml:space="preserve">along with the new </w:t>
      </w:r>
      <w:r w:rsidRPr="008F73F4">
        <w:rPr>
          <w:rFonts w:cs="Arial"/>
        </w:rPr>
        <w:t>funding formula</w:t>
      </w:r>
      <w:r>
        <w:rPr>
          <w:rFonts w:cs="Arial"/>
        </w:rPr>
        <w:t xml:space="preserve"> coming into effect</w:t>
      </w:r>
      <w:r w:rsidRPr="008F73F4">
        <w:rPr>
          <w:rFonts w:cs="Arial"/>
        </w:rPr>
        <w:t xml:space="preserve">. </w:t>
      </w:r>
      <w:r>
        <w:rPr>
          <w:rFonts w:cs="Arial"/>
        </w:rPr>
        <w:t xml:space="preserve"> </w:t>
      </w:r>
      <w:r w:rsidRPr="008F73F4">
        <w:rPr>
          <w:rFonts w:cs="Arial"/>
        </w:rPr>
        <w:t xml:space="preserve">However, details of the scheme and therefore the impact on Lancashire are </w:t>
      </w:r>
      <w:r w:rsidRPr="002B2247">
        <w:rPr>
          <w:rFonts w:cs="Arial"/>
        </w:rPr>
        <w:t>not yet known</w:t>
      </w:r>
      <w:r>
        <w:rPr>
          <w:rFonts w:cs="Arial"/>
        </w:rPr>
        <w:t>, with further consultations due to be circulated imminently for the various funding blocks</w:t>
      </w:r>
      <w:r w:rsidRPr="002B2247">
        <w:rPr>
          <w:rFonts w:cs="Arial"/>
        </w:rPr>
        <w:t xml:space="preserve">. </w:t>
      </w:r>
      <w:r>
        <w:rPr>
          <w:rFonts w:cs="Arial"/>
        </w:rPr>
        <w:t xml:space="preserve">One of the key and consistent responses from councils in previous consultations has been for early indication of the impact of funding changes to be provided, to enable </w:t>
      </w:r>
      <w:r w:rsidR="005B099C">
        <w:rPr>
          <w:rFonts w:cs="Arial"/>
        </w:rPr>
        <w:t xml:space="preserve">sufficient </w:t>
      </w:r>
      <w:r>
        <w:rPr>
          <w:rFonts w:cs="Arial"/>
        </w:rPr>
        <w:t xml:space="preserve">time for </w:t>
      </w:r>
      <w:r w:rsidR="005B099C">
        <w:rPr>
          <w:rFonts w:cs="Arial"/>
        </w:rPr>
        <w:t xml:space="preserve">planning to take place to help effectively manage those </w:t>
      </w:r>
      <w:r>
        <w:rPr>
          <w:rFonts w:cs="Arial"/>
        </w:rPr>
        <w:t xml:space="preserve">changes.  At this stage it now seems highly unlikely that the new schemes will be implemented for the 2020/21 financial year, due to the amount of consultation and modelling required, combined with pressures across government departments in relation to the UK exiting the EU. </w:t>
      </w:r>
    </w:p>
    <w:p w14:paraId="25868AA9" w14:textId="77777777" w:rsidR="00AC33E0" w:rsidRDefault="00AC33E0" w:rsidP="00AC33E0">
      <w:pPr>
        <w:tabs>
          <w:tab w:val="left" w:pos="567"/>
          <w:tab w:val="left" w:pos="1134"/>
        </w:tabs>
        <w:spacing w:after="0"/>
        <w:rPr>
          <w:rFonts w:cs="Arial"/>
        </w:rPr>
      </w:pPr>
    </w:p>
    <w:p w14:paraId="35823190" w14:textId="77777777" w:rsidR="00AC33E0" w:rsidRDefault="00AC33E0" w:rsidP="00AC33E0">
      <w:pPr>
        <w:tabs>
          <w:tab w:val="left" w:pos="567"/>
          <w:tab w:val="left" w:pos="1134"/>
        </w:tabs>
        <w:spacing w:after="0"/>
        <w:rPr>
          <w:rFonts w:cs="Arial"/>
        </w:rPr>
      </w:pPr>
      <w:r>
        <w:rPr>
          <w:rFonts w:cs="Arial"/>
        </w:rPr>
        <w:t xml:space="preserve">The most recent communication in relation to future funding was from the Chancellor in early August who announced that a one year spending review will be completed in mid-September. The Secretary of State indicated that this will give councils certainty about how local services will be funded in 2020/21 as they begin the budget setting process. The position is that during 2020 a multi-year spending review will take place which will allow more time for the impact of funding changes to be effectively planned for. </w:t>
      </w:r>
    </w:p>
    <w:p w14:paraId="5EB435AE" w14:textId="77777777" w:rsidR="00AC33E0" w:rsidRDefault="00AC33E0" w:rsidP="00AC33E0">
      <w:pPr>
        <w:tabs>
          <w:tab w:val="left" w:pos="567"/>
          <w:tab w:val="left" w:pos="1134"/>
        </w:tabs>
        <w:spacing w:after="0"/>
        <w:rPr>
          <w:rFonts w:cs="Arial"/>
        </w:rPr>
      </w:pPr>
    </w:p>
    <w:p w14:paraId="427C4248" w14:textId="77777777" w:rsidR="00AC33E0" w:rsidRPr="009C69DC" w:rsidRDefault="00AC33E0" w:rsidP="00AC33E0">
      <w:pPr>
        <w:spacing w:after="0"/>
        <w:rPr>
          <w:rFonts w:cs="Arial"/>
          <w:highlight w:val="yellow"/>
        </w:rPr>
      </w:pPr>
    </w:p>
    <w:p w14:paraId="3407977A" w14:textId="77777777" w:rsidR="00AC33E0" w:rsidRPr="009C69DC" w:rsidRDefault="00AC33E0" w:rsidP="00AC33E0">
      <w:pPr>
        <w:spacing w:after="0"/>
        <w:rPr>
          <w:rFonts w:cs="Arial"/>
          <w:highlight w:val="yellow"/>
        </w:rPr>
      </w:pPr>
    </w:p>
    <w:p w14:paraId="224AFC90" w14:textId="77777777" w:rsidR="00AC33E0" w:rsidRPr="009C69DC" w:rsidRDefault="00AC33E0" w:rsidP="00AC33E0">
      <w:pPr>
        <w:spacing w:after="0"/>
        <w:rPr>
          <w:rFonts w:cs="Arial"/>
          <w:highlight w:val="yellow"/>
        </w:rPr>
      </w:pPr>
    </w:p>
    <w:p w14:paraId="31C7E09A" w14:textId="77777777" w:rsidR="00AC33E0" w:rsidRPr="009C69DC" w:rsidRDefault="00AC33E0" w:rsidP="00AC33E0">
      <w:pPr>
        <w:spacing w:after="0"/>
        <w:rPr>
          <w:rFonts w:cs="Arial"/>
          <w:highlight w:val="yellow"/>
        </w:rPr>
      </w:pPr>
    </w:p>
    <w:p w14:paraId="5C0047F0" w14:textId="77777777" w:rsidR="00AC33E0" w:rsidRPr="009C69DC" w:rsidRDefault="00AC33E0" w:rsidP="00AC33E0">
      <w:pPr>
        <w:spacing w:after="0"/>
        <w:rPr>
          <w:rFonts w:cs="Arial"/>
          <w:highlight w:val="yellow"/>
        </w:rPr>
      </w:pPr>
    </w:p>
    <w:p w14:paraId="11D4B3C8" w14:textId="77777777" w:rsidR="00AC33E0" w:rsidRPr="009C69DC" w:rsidRDefault="00AC33E0" w:rsidP="00AC33E0">
      <w:pPr>
        <w:spacing w:after="0"/>
        <w:rPr>
          <w:rFonts w:cs="Arial"/>
          <w:highlight w:val="yellow"/>
        </w:rPr>
      </w:pPr>
    </w:p>
    <w:p w14:paraId="2801C138" w14:textId="77777777" w:rsidR="00AC33E0" w:rsidRPr="009C69DC" w:rsidRDefault="00AC33E0" w:rsidP="00AC33E0">
      <w:pPr>
        <w:spacing w:after="0"/>
        <w:rPr>
          <w:rFonts w:cs="Arial"/>
          <w:highlight w:val="yellow"/>
        </w:rPr>
      </w:pPr>
    </w:p>
    <w:p w14:paraId="665E58B5" w14:textId="77777777" w:rsidR="00AC33E0" w:rsidRPr="009C69DC" w:rsidRDefault="00AC33E0" w:rsidP="00AC33E0">
      <w:pPr>
        <w:spacing w:after="0"/>
        <w:rPr>
          <w:rFonts w:cs="Arial"/>
          <w:highlight w:val="yellow"/>
        </w:rPr>
      </w:pPr>
    </w:p>
    <w:p w14:paraId="4C7E1003" w14:textId="77777777" w:rsidR="00AC33E0" w:rsidRPr="009C69DC" w:rsidRDefault="00AC33E0" w:rsidP="00AC33E0">
      <w:pPr>
        <w:spacing w:after="0"/>
        <w:rPr>
          <w:rFonts w:cs="Arial"/>
          <w:highlight w:val="yellow"/>
        </w:rPr>
      </w:pPr>
    </w:p>
    <w:p w14:paraId="1B393163" w14:textId="77777777" w:rsidR="00AC33E0" w:rsidRPr="009C69DC" w:rsidRDefault="00AC33E0" w:rsidP="00AC33E0">
      <w:pPr>
        <w:spacing w:after="0"/>
        <w:rPr>
          <w:rFonts w:cs="Arial"/>
          <w:highlight w:val="yellow"/>
        </w:rPr>
      </w:pPr>
    </w:p>
    <w:p w14:paraId="7C2864D3" w14:textId="77777777" w:rsidR="00AC33E0" w:rsidRPr="009C69DC" w:rsidRDefault="00AC33E0" w:rsidP="00AC33E0">
      <w:pPr>
        <w:spacing w:after="0"/>
        <w:rPr>
          <w:rFonts w:cs="Arial"/>
          <w:highlight w:val="yellow"/>
        </w:rPr>
      </w:pPr>
    </w:p>
    <w:p w14:paraId="34B0E5E5" w14:textId="77777777" w:rsidR="00AC33E0" w:rsidRPr="009C69DC" w:rsidRDefault="00AC33E0" w:rsidP="00AC33E0">
      <w:pPr>
        <w:spacing w:after="0"/>
        <w:rPr>
          <w:rFonts w:cs="Arial"/>
          <w:highlight w:val="yellow"/>
        </w:rPr>
      </w:pPr>
    </w:p>
    <w:p w14:paraId="017043C2" w14:textId="77777777" w:rsidR="00AC33E0" w:rsidRPr="009C69DC" w:rsidRDefault="00AC33E0" w:rsidP="00AC33E0">
      <w:pPr>
        <w:spacing w:after="0"/>
        <w:rPr>
          <w:rFonts w:cs="Arial"/>
          <w:highlight w:val="yellow"/>
        </w:rPr>
      </w:pPr>
    </w:p>
    <w:p w14:paraId="4AE41A7B" w14:textId="77777777" w:rsidR="00AC33E0" w:rsidRPr="009C69DC" w:rsidRDefault="00AC33E0" w:rsidP="00AC33E0">
      <w:pPr>
        <w:spacing w:after="0"/>
        <w:rPr>
          <w:rFonts w:cs="Arial"/>
          <w:highlight w:val="yellow"/>
        </w:rPr>
      </w:pPr>
    </w:p>
    <w:p w14:paraId="2BD8B295" w14:textId="77777777" w:rsidR="00AC33E0" w:rsidRDefault="00AC33E0" w:rsidP="00AC33E0">
      <w:pPr>
        <w:spacing w:after="0"/>
        <w:rPr>
          <w:rFonts w:cs="Arial"/>
          <w:highlight w:val="yellow"/>
        </w:rPr>
      </w:pPr>
    </w:p>
    <w:p w14:paraId="3347D186" w14:textId="77777777" w:rsidR="00AC33E0" w:rsidRDefault="00AC33E0" w:rsidP="00AC33E0">
      <w:pPr>
        <w:spacing w:after="0"/>
        <w:rPr>
          <w:rFonts w:cs="Arial"/>
          <w:highlight w:val="yellow"/>
        </w:rPr>
      </w:pPr>
    </w:p>
    <w:p w14:paraId="653DE1E3" w14:textId="77777777" w:rsidR="00AC33E0" w:rsidRDefault="00AC33E0" w:rsidP="00AC33E0">
      <w:pPr>
        <w:spacing w:after="0"/>
        <w:rPr>
          <w:rFonts w:cs="Arial"/>
          <w:highlight w:val="yellow"/>
        </w:rPr>
      </w:pPr>
    </w:p>
    <w:p w14:paraId="120FA400" w14:textId="77777777" w:rsidR="00AC33E0" w:rsidRDefault="00AC33E0" w:rsidP="00AC33E0">
      <w:pPr>
        <w:spacing w:after="0"/>
        <w:rPr>
          <w:rFonts w:cs="Arial"/>
          <w:highlight w:val="yellow"/>
        </w:rPr>
      </w:pPr>
    </w:p>
    <w:p w14:paraId="7D134201" w14:textId="77777777" w:rsidR="00AC33E0" w:rsidRDefault="00AC33E0" w:rsidP="00AC33E0">
      <w:pPr>
        <w:spacing w:after="0"/>
        <w:rPr>
          <w:rFonts w:cs="Arial"/>
          <w:highlight w:val="yellow"/>
        </w:rPr>
      </w:pPr>
    </w:p>
    <w:p w14:paraId="09AE8BB9" w14:textId="406A4732" w:rsidR="00AC33E0" w:rsidRPr="002B2247" w:rsidRDefault="00AC33E0" w:rsidP="00AC33E0">
      <w:pPr>
        <w:spacing w:after="0"/>
        <w:rPr>
          <w:rFonts w:cs="Arial"/>
        </w:rPr>
      </w:pPr>
      <w:r w:rsidRPr="002B2247">
        <w:rPr>
          <w:rFonts w:cs="Arial"/>
        </w:rPr>
        <w:lastRenderedPageBreak/>
        <w:t xml:space="preserve">The table below reflects the updated funding position. </w:t>
      </w:r>
    </w:p>
    <w:p w14:paraId="0832F20E" w14:textId="77777777" w:rsidR="00AC33E0" w:rsidRPr="002B2247" w:rsidRDefault="00AC33E0" w:rsidP="00AC33E0">
      <w:pPr>
        <w:spacing w:after="0"/>
        <w:rPr>
          <w:rFonts w:cs="Arial"/>
        </w:rPr>
      </w:pPr>
    </w:p>
    <w:p w14:paraId="257CBF41" w14:textId="77777777" w:rsidR="00AC33E0" w:rsidRDefault="00AC33E0" w:rsidP="00AC33E0">
      <w:pPr>
        <w:spacing w:after="0"/>
        <w:rPr>
          <w:rFonts w:cs="Arial"/>
          <w:b/>
          <w:i/>
          <w:u w:val="single"/>
        </w:rPr>
      </w:pPr>
      <w:r w:rsidRPr="002B2247">
        <w:rPr>
          <w:rFonts w:cs="Arial"/>
          <w:b/>
          <w:i/>
          <w:u w:val="single"/>
        </w:rPr>
        <w:t>Table 2</w:t>
      </w:r>
    </w:p>
    <w:p w14:paraId="3DC1F4FC" w14:textId="77777777" w:rsidR="00AC33E0" w:rsidRDefault="00AC33E0" w:rsidP="00AC33E0">
      <w:pPr>
        <w:spacing w:after="0"/>
        <w:rPr>
          <w:rFonts w:cs="Arial"/>
          <w:b/>
          <w:i/>
          <w:u w:val="single"/>
        </w:rPr>
      </w:pPr>
    </w:p>
    <w:tbl>
      <w:tblPr>
        <w:tblStyle w:val="TableGrid20"/>
        <w:tblW w:w="0" w:type="auto"/>
        <w:jc w:val="center"/>
        <w:tblLayout w:type="fixed"/>
        <w:tblLook w:val="04A0" w:firstRow="1" w:lastRow="0" w:firstColumn="1" w:lastColumn="0" w:noHBand="0" w:noVBand="1"/>
      </w:tblPr>
      <w:tblGrid>
        <w:gridCol w:w="3828"/>
        <w:gridCol w:w="1653"/>
        <w:gridCol w:w="1654"/>
        <w:gridCol w:w="1654"/>
      </w:tblGrid>
      <w:tr w:rsidR="0093099B" w14:paraId="1C31A023" w14:textId="77777777" w:rsidTr="00AC33E0">
        <w:trPr>
          <w:trHeight w:val="593"/>
          <w:jc w:val="center"/>
        </w:trPr>
        <w:tc>
          <w:tcPr>
            <w:tcW w:w="3828" w:type="dxa"/>
            <w:shd w:val="clear" w:color="auto" w:fill="BFBFBF" w:themeFill="background1" w:themeFillShade="BF"/>
            <w:vAlign w:val="center"/>
          </w:tcPr>
          <w:p w14:paraId="54E02F41" w14:textId="77777777" w:rsidR="00AC33E0" w:rsidRPr="00673506" w:rsidRDefault="00AC33E0" w:rsidP="00AC33E0">
            <w:pPr>
              <w:rPr>
                <w:rFonts w:eastAsiaTheme="minorHAnsi" w:cs="Arial"/>
              </w:rPr>
            </w:pPr>
          </w:p>
        </w:tc>
        <w:tc>
          <w:tcPr>
            <w:tcW w:w="1653" w:type="dxa"/>
            <w:shd w:val="clear" w:color="auto" w:fill="BFBFBF" w:themeFill="background1" w:themeFillShade="BF"/>
            <w:vAlign w:val="center"/>
          </w:tcPr>
          <w:p w14:paraId="3781A3EF" w14:textId="77777777" w:rsidR="00AC33E0" w:rsidRPr="00673506" w:rsidRDefault="00AC33E0" w:rsidP="00AC33E0">
            <w:pPr>
              <w:jc w:val="center"/>
              <w:rPr>
                <w:rFonts w:eastAsiaTheme="minorHAnsi" w:cs="Arial"/>
                <w:b/>
              </w:rPr>
            </w:pPr>
            <w:r>
              <w:rPr>
                <w:rFonts w:eastAsiaTheme="minorHAnsi" w:cs="Arial"/>
                <w:b/>
              </w:rPr>
              <w:t>2020/21</w:t>
            </w:r>
          </w:p>
          <w:p w14:paraId="037AE111" w14:textId="77777777" w:rsidR="00AC33E0" w:rsidRPr="00673506" w:rsidRDefault="00AC33E0" w:rsidP="00AC33E0">
            <w:pPr>
              <w:jc w:val="center"/>
              <w:rPr>
                <w:rFonts w:eastAsiaTheme="minorHAnsi" w:cs="Arial"/>
                <w:b/>
              </w:rPr>
            </w:pPr>
            <w:r w:rsidRPr="00673506">
              <w:rPr>
                <w:rFonts w:eastAsiaTheme="minorHAnsi" w:cs="Arial"/>
                <w:b/>
              </w:rPr>
              <w:t>£m</w:t>
            </w:r>
          </w:p>
        </w:tc>
        <w:tc>
          <w:tcPr>
            <w:tcW w:w="1654" w:type="dxa"/>
            <w:shd w:val="clear" w:color="auto" w:fill="BFBFBF" w:themeFill="background1" w:themeFillShade="BF"/>
            <w:vAlign w:val="center"/>
          </w:tcPr>
          <w:p w14:paraId="1C190977" w14:textId="77777777" w:rsidR="00AC33E0" w:rsidRPr="00673506" w:rsidRDefault="00AC33E0" w:rsidP="00AC33E0">
            <w:pPr>
              <w:jc w:val="center"/>
              <w:rPr>
                <w:rFonts w:eastAsiaTheme="minorHAnsi" w:cs="Arial"/>
                <w:b/>
              </w:rPr>
            </w:pPr>
            <w:r>
              <w:rPr>
                <w:rFonts w:eastAsiaTheme="minorHAnsi" w:cs="Arial"/>
                <w:b/>
              </w:rPr>
              <w:t>2021/22</w:t>
            </w:r>
          </w:p>
          <w:p w14:paraId="078CEE3B" w14:textId="77777777" w:rsidR="00AC33E0" w:rsidRPr="00673506" w:rsidRDefault="00AC33E0" w:rsidP="00AC33E0">
            <w:pPr>
              <w:jc w:val="center"/>
              <w:rPr>
                <w:rFonts w:eastAsiaTheme="minorHAnsi" w:cs="Arial"/>
                <w:b/>
              </w:rPr>
            </w:pPr>
            <w:r w:rsidRPr="00673506">
              <w:rPr>
                <w:rFonts w:eastAsiaTheme="minorHAnsi" w:cs="Arial"/>
                <w:b/>
              </w:rPr>
              <w:t>£m</w:t>
            </w:r>
          </w:p>
        </w:tc>
        <w:tc>
          <w:tcPr>
            <w:tcW w:w="1654" w:type="dxa"/>
            <w:shd w:val="clear" w:color="auto" w:fill="BFBFBF" w:themeFill="background1" w:themeFillShade="BF"/>
          </w:tcPr>
          <w:p w14:paraId="449BF24C" w14:textId="77777777" w:rsidR="00AC33E0" w:rsidRDefault="00AC33E0" w:rsidP="00AC33E0">
            <w:pPr>
              <w:jc w:val="center"/>
              <w:rPr>
                <w:rFonts w:eastAsiaTheme="minorHAnsi" w:cs="Arial"/>
                <w:b/>
              </w:rPr>
            </w:pPr>
            <w:r w:rsidRPr="00673506">
              <w:rPr>
                <w:rFonts w:eastAsiaTheme="minorHAnsi" w:cs="Arial"/>
                <w:b/>
              </w:rPr>
              <w:t>202</w:t>
            </w:r>
            <w:r>
              <w:rPr>
                <w:rFonts w:eastAsiaTheme="minorHAnsi" w:cs="Arial"/>
                <w:b/>
              </w:rPr>
              <w:t>2/23</w:t>
            </w:r>
            <w:r w:rsidRPr="00673506">
              <w:rPr>
                <w:rFonts w:eastAsiaTheme="minorHAnsi" w:cs="Arial"/>
                <w:b/>
              </w:rPr>
              <w:t xml:space="preserve"> </w:t>
            </w:r>
          </w:p>
          <w:p w14:paraId="2DAB3589" w14:textId="77777777" w:rsidR="00AC33E0" w:rsidRPr="00673506" w:rsidRDefault="00AC33E0" w:rsidP="00AC33E0">
            <w:pPr>
              <w:jc w:val="center"/>
              <w:rPr>
                <w:rFonts w:eastAsiaTheme="minorHAnsi" w:cs="Arial"/>
                <w:b/>
              </w:rPr>
            </w:pPr>
            <w:r w:rsidRPr="00673506">
              <w:rPr>
                <w:rFonts w:eastAsiaTheme="minorHAnsi" w:cs="Arial"/>
                <w:b/>
              </w:rPr>
              <w:t>£m</w:t>
            </w:r>
          </w:p>
        </w:tc>
      </w:tr>
      <w:tr w:rsidR="0093099B" w14:paraId="37936F84" w14:textId="77777777" w:rsidTr="00AC33E0">
        <w:trPr>
          <w:trHeight w:val="526"/>
          <w:jc w:val="center"/>
        </w:trPr>
        <w:tc>
          <w:tcPr>
            <w:tcW w:w="3828" w:type="dxa"/>
            <w:vAlign w:val="center"/>
          </w:tcPr>
          <w:p w14:paraId="36D9309D" w14:textId="77777777" w:rsidR="00AC33E0" w:rsidRPr="00673506" w:rsidRDefault="00AC33E0" w:rsidP="00AC33E0">
            <w:pPr>
              <w:rPr>
                <w:rFonts w:eastAsiaTheme="minorHAnsi" w:cs="Arial"/>
              </w:rPr>
            </w:pPr>
            <w:r w:rsidRPr="00673506">
              <w:rPr>
                <w:rFonts w:eastAsiaTheme="minorHAnsi" w:cs="Arial"/>
              </w:rPr>
              <w:t>Revenue Support Grant</w:t>
            </w:r>
            <w:r>
              <w:rPr>
                <w:rFonts w:eastAsiaTheme="minorHAnsi" w:cs="Arial"/>
              </w:rPr>
              <w:t>*</w:t>
            </w:r>
          </w:p>
        </w:tc>
        <w:tc>
          <w:tcPr>
            <w:tcW w:w="1653" w:type="dxa"/>
            <w:vAlign w:val="center"/>
          </w:tcPr>
          <w:p w14:paraId="452ABEF7" w14:textId="77777777" w:rsidR="00AC33E0" w:rsidRPr="00673506" w:rsidRDefault="00AC33E0" w:rsidP="00AC33E0">
            <w:pPr>
              <w:jc w:val="right"/>
              <w:rPr>
                <w:rFonts w:eastAsiaTheme="minorHAnsi" w:cs="Arial"/>
              </w:rPr>
            </w:pPr>
            <w:r w:rsidRPr="00673506">
              <w:rPr>
                <w:rFonts w:eastAsiaTheme="minorHAnsi" w:cs="Arial"/>
              </w:rPr>
              <w:t>0.000</w:t>
            </w:r>
          </w:p>
        </w:tc>
        <w:tc>
          <w:tcPr>
            <w:tcW w:w="1654" w:type="dxa"/>
            <w:vAlign w:val="center"/>
          </w:tcPr>
          <w:p w14:paraId="13ECF1F5" w14:textId="77777777" w:rsidR="00AC33E0" w:rsidRPr="00673506" w:rsidRDefault="00AC33E0" w:rsidP="00AC33E0">
            <w:pPr>
              <w:jc w:val="right"/>
              <w:rPr>
                <w:rFonts w:eastAsiaTheme="minorHAnsi" w:cs="Arial"/>
              </w:rPr>
            </w:pPr>
            <w:r w:rsidRPr="00673506">
              <w:rPr>
                <w:rFonts w:eastAsiaTheme="minorHAnsi" w:cs="Arial"/>
              </w:rPr>
              <w:t>0.000</w:t>
            </w:r>
          </w:p>
        </w:tc>
        <w:tc>
          <w:tcPr>
            <w:tcW w:w="1654" w:type="dxa"/>
            <w:vAlign w:val="center"/>
          </w:tcPr>
          <w:p w14:paraId="040B10E2" w14:textId="77777777" w:rsidR="00AC33E0" w:rsidRPr="00673506" w:rsidRDefault="00AC33E0" w:rsidP="00AC33E0">
            <w:pPr>
              <w:jc w:val="right"/>
              <w:rPr>
                <w:rFonts w:eastAsiaTheme="minorHAnsi" w:cs="Arial"/>
              </w:rPr>
            </w:pPr>
            <w:r w:rsidRPr="00673506">
              <w:rPr>
                <w:rFonts w:eastAsiaTheme="minorHAnsi" w:cs="Arial"/>
              </w:rPr>
              <w:t>0.000</w:t>
            </w:r>
          </w:p>
        </w:tc>
      </w:tr>
      <w:tr w:rsidR="0093099B" w14:paraId="0D5A979F" w14:textId="77777777" w:rsidTr="00AC33E0">
        <w:tblPrEx>
          <w:jc w:val="left"/>
        </w:tblPrEx>
        <w:trPr>
          <w:trHeight w:val="526"/>
        </w:trPr>
        <w:tc>
          <w:tcPr>
            <w:tcW w:w="3828" w:type="dxa"/>
            <w:vAlign w:val="center"/>
            <w:hideMark/>
          </w:tcPr>
          <w:p w14:paraId="2E29E462" w14:textId="77777777" w:rsidR="00AC33E0" w:rsidRPr="009B3230" w:rsidRDefault="00AC33E0" w:rsidP="00AC33E0">
            <w:pPr>
              <w:rPr>
                <w:rFonts w:eastAsiaTheme="minorHAnsi" w:cs="Arial"/>
                <w:color w:val="auto"/>
              </w:rPr>
            </w:pPr>
            <w:r w:rsidRPr="009B3230">
              <w:rPr>
                <w:rFonts w:eastAsiaTheme="minorHAnsi" w:cs="Arial"/>
                <w:color w:val="auto"/>
              </w:rPr>
              <w:t>Business Rates</w:t>
            </w:r>
          </w:p>
        </w:tc>
        <w:tc>
          <w:tcPr>
            <w:tcW w:w="1653" w:type="dxa"/>
            <w:vAlign w:val="center"/>
          </w:tcPr>
          <w:p w14:paraId="182B5DBE" w14:textId="77777777" w:rsidR="00AC33E0" w:rsidRPr="009B3230" w:rsidRDefault="00AC33E0" w:rsidP="00AC33E0">
            <w:pPr>
              <w:jc w:val="right"/>
              <w:rPr>
                <w:rFonts w:eastAsiaTheme="minorHAnsi" w:cs="Arial"/>
                <w:color w:val="auto"/>
              </w:rPr>
            </w:pPr>
            <w:r w:rsidRPr="009B3230">
              <w:rPr>
                <w:rFonts w:eastAsiaTheme="minorHAnsi" w:cs="Arial"/>
                <w:color w:val="auto"/>
              </w:rPr>
              <w:t>235.902</w:t>
            </w:r>
          </w:p>
        </w:tc>
        <w:tc>
          <w:tcPr>
            <w:tcW w:w="1654" w:type="dxa"/>
            <w:tcBorders>
              <w:top w:val="nil"/>
              <w:left w:val="single" w:sz="4" w:space="0" w:color="auto"/>
              <w:bottom w:val="single" w:sz="4" w:space="0" w:color="auto"/>
              <w:right w:val="single" w:sz="4" w:space="0" w:color="auto"/>
            </w:tcBorders>
            <w:shd w:val="clear" w:color="auto" w:fill="auto"/>
            <w:vAlign w:val="center"/>
          </w:tcPr>
          <w:p w14:paraId="52B80934" w14:textId="77777777" w:rsidR="00AC33E0" w:rsidRPr="009B3230" w:rsidRDefault="00AC33E0" w:rsidP="00AC33E0">
            <w:pPr>
              <w:jc w:val="right"/>
              <w:rPr>
                <w:rFonts w:eastAsiaTheme="minorHAnsi" w:cs="Arial"/>
                <w:color w:val="auto"/>
              </w:rPr>
            </w:pPr>
            <w:r>
              <w:rPr>
                <w:rFonts w:eastAsiaTheme="minorHAnsi" w:cs="Arial"/>
              </w:rPr>
              <w:t>206.787</w:t>
            </w:r>
          </w:p>
        </w:tc>
        <w:tc>
          <w:tcPr>
            <w:tcW w:w="1654" w:type="dxa"/>
            <w:tcBorders>
              <w:top w:val="nil"/>
              <w:left w:val="nil"/>
              <w:bottom w:val="single" w:sz="4" w:space="0" w:color="auto"/>
              <w:right w:val="single" w:sz="4" w:space="0" w:color="auto"/>
            </w:tcBorders>
            <w:shd w:val="clear" w:color="auto" w:fill="auto"/>
            <w:vAlign w:val="center"/>
          </w:tcPr>
          <w:p w14:paraId="7945FF28" w14:textId="77777777" w:rsidR="00AC33E0" w:rsidRPr="009B3230" w:rsidRDefault="00AC33E0" w:rsidP="00AC33E0">
            <w:pPr>
              <w:jc w:val="right"/>
              <w:rPr>
                <w:rFonts w:eastAsiaTheme="minorHAnsi" w:cs="Arial"/>
                <w:color w:val="auto"/>
              </w:rPr>
            </w:pPr>
            <w:r>
              <w:rPr>
                <w:rFonts w:eastAsiaTheme="minorHAnsi" w:cs="Arial"/>
              </w:rPr>
              <w:t>209.979</w:t>
            </w:r>
          </w:p>
        </w:tc>
      </w:tr>
      <w:tr w:rsidR="0093099B" w14:paraId="44E7578D" w14:textId="77777777" w:rsidTr="00AC33E0">
        <w:tblPrEx>
          <w:jc w:val="left"/>
        </w:tblPrEx>
        <w:trPr>
          <w:trHeight w:val="526"/>
        </w:trPr>
        <w:tc>
          <w:tcPr>
            <w:tcW w:w="3828" w:type="dxa"/>
            <w:vAlign w:val="center"/>
            <w:hideMark/>
          </w:tcPr>
          <w:p w14:paraId="67776C6D" w14:textId="77777777" w:rsidR="00AC33E0" w:rsidRPr="009B3230" w:rsidRDefault="00AC33E0" w:rsidP="00AC33E0">
            <w:pPr>
              <w:rPr>
                <w:rFonts w:eastAsiaTheme="minorHAnsi" w:cs="Arial"/>
                <w:color w:val="auto"/>
              </w:rPr>
            </w:pPr>
            <w:r w:rsidRPr="009B3230">
              <w:rPr>
                <w:rFonts w:eastAsiaTheme="minorHAnsi" w:cs="Arial"/>
                <w:color w:val="auto"/>
              </w:rPr>
              <w:t>Council Tax</w:t>
            </w:r>
          </w:p>
        </w:tc>
        <w:tc>
          <w:tcPr>
            <w:tcW w:w="1653" w:type="dxa"/>
            <w:tcBorders>
              <w:top w:val="nil"/>
              <w:left w:val="nil"/>
              <w:bottom w:val="single" w:sz="4" w:space="0" w:color="auto"/>
              <w:right w:val="nil"/>
            </w:tcBorders>
            <w:shd w:val="clear" w:color="auto" w:fill="auto"/>
            <w:vAlign w:val="center"/>
          </w:tcPr>
          <w:p w14:paraId="6B877E3E" w14:textId="77777777" w:rsidR="00AC33E0" w:rsidRPr="009B3230" w:rsidRDefault="00AC33E0" w:rsidP="00AC33E0">
            <w:pPr>
              <w:jc w:val="right"/>
              <w:rPr>
                <w:rFonts w:eastAsiaTheme="minorHAnsi" w:cs="Arial"/>
                <w:color w:val="auto"/>
              </w:rPr>
            </w:pPr>
            <w:r w:rsidRPr="009B3230">
              <w:rPr>
                <w:rFonts w:eastAsiaTheme="minorHAnsi" w:cs="Arial"/>
                <w:color w:val="auto"/>
              </w:rPr>
              <w:t>512.289</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802F8E6" w14:textId="77777777" w:rsidR="00AC33E0" w:rsidRPr="009B3230" w:rsidRDefault="00AC33E0" w:rsidP="00AC33E0">
            <w:pPr>
              <w:jc w:val="right"/>
              <w:rPr>
                <w:rFonts w:eastAsiaTheme="minorHAnsi" w:cs="Arial"/>
                <w:color w:val="auto"/>
              </w:rPr>
            </w:pPr>
            <w:r w:rsidRPr="009B3230">
              <w:rPr>
                <w:rFonts w:eastAsiaTheme="minorHAnsi" w:cs="Arial"/>
                <w:color w:val="auto"/>
              </w:rPr>
              <w:t>531.366</w:t>
            </w:r>
          </w:p>
        </w:tc>
        <w:tc>
          <w:tcPr>
            <w:tcW w:w="1654" w:type="dxa"/>
            <w:tcBorders>
              <w:top w:val="single" w:sz="4" w:space="0" w:color="auto"/>
              <w:left w:val="nil"/>
              <w:bottom w:val="single" w:sz="4" w:space="0" w:color="auto"/>
              <w:right w:val="single" w:sz="4" w:space="0" w:color="auto"/>
            </w:tcBorders>
            <w:shd w:val="clear" w:color="auto" w:fill="auto"/>
            <w:vAlign w:val="center"/>
          </w:tcPr>
          <w:p w14:paraId="35136A72" w14:textId="77777777" w:rsidR="00AC33E0" w:rsidRPr="009B3230" w:rsidRDefault="00AC33E0" w:rsidP="00AC33E0">
            <w:pPr>
              <w:jc w:val="right"/>
              <w:rPr>
                <w:rFonts w:eastAsiaTheme="minorHAnsi" w:cs="Arial"/>
                <w:color w:val="auto"/>
              </w:rPr>
            </w:pPr>
            <w:r w:rsidRPr="009B3230">
              <w:rPr>
                <w:rFonts w:eastAsiaTheme="minorHAnsi" w:cs="Arial"/>
                <w:color w:val="auto"/>
              </w:rPr>
              <w:t>551.153</w:t>
            </w:r>
          </w:p>
        </w:tc>
      </w:tr>
      <w:tr w:rsidR="0093099B" w14:paraId="7582B933" w14:textId="77777777" w:rsidTr="00AC33E0">
        <w:tblPrEx>
          <w:jc w:val="left"/>
        </w:tblPrEx>
        <w:trPr>
          <w:trHeight w:val="526"/>
        </w:trPr>
        <w:tc>
          <w:tcPr>
            <w:tcW w:w="3828" w:type="dxa"/>
            <w:vAlign w:val="center"/>
            <w:hideMark/>
          </w:tcPr>
          <w:p w14:paraId="7A16A8A4" w14:textId="77777777" w:rsidR="00AC33E0" w:rsidRPr="009B3230" w:rsidRDefault="00AC33E0" w:rsidP="00AC33E0">
            <w:pPr>
              <w:rPr>
                <w:rFonts w:eastAsiaTheme="minorHAnsi" w:cs="Arial"/>
                <w:color w:val="auto"/>
              </w:rPr>
            </w:pPr>
            <w:r w:rsidRPr="009B3230">
              <w:rPr>
                <w:rFonts w:eastAsiaTheme="minorHAnsi" w:cs="Arial"/>
                <w:color w:val="auto"/>
              </w:rPr>
              <w:t>New Homes Bonus</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2509569" w14:textId="77777777" w:rsidR="00AC33E0" w:rsidRPr="009B3230" w:rsidRDefault="00AC33E0" w:rsidP="00AC33E0">
            <w:pPr>
              <w:jc w:val="right"/>
              <w:rPr>
                <w:rFonts w:eastAsiaTheme="minorHAnsi" w:cs="Arial"/>
                <w:color w:val="auto"/>
              </w:rPr>
            </w:pPr>
            <w:r w:rsidRPr="009B3230">
              <w:rPr>
                <w:rFonts w:eastAsiaTheme="minorHAnsi" w:cs="Arial"/>
                <w:color w:val="auto"/>
              </w:rPr>
              <w:t>3.161</w:t>
            </w:r>
          </w:p>
        </w:tc>
        <w:tc>
          <w:tcPr>
            <w:tcW w:w="1654" w:type="dxa"/>
            <w:tcBorders>
              <w:top w:val="single" w:sz="4" w:space="0" w:color="auto"/>
              <w:left w:val="nil"/>
              <w:bottom w:val="single" w:sz="4" w:space="0" w:color="auto"/>
              <w:right w:val="single" w:sz="4" w:space="0" w:color="auto"/>
            </w:tcBorders>
            <w:shd w:val="clear" w:color="auto" w:fill="auto"/>
            <w:vAlign w:val="center"/>
          </w:tcPr>
          <w:p w14:paraId="7880C478" w14:textId="77777777" w:rsidR="00AC33E0" w:rsidRPr="009B3230" w:rsidRDefault="00AC33E0" w:rsidP="00AC33E0">
            <w:pPr>
              <w:jc w:val="right"/>
              <w:rPr>
                <w:rFonts w:eastAsiaTheme="minorHAnsi" w:cs="Arial"/>
                <w:color w:val="auto"/>
              </w:rPr>
            </w:pPr>
            <w:r w:rsidRPr="009B3230">
              <w:rPr>
                <w:rFonts w:eastAsiaTheme="minorHAnsi" w:cs="Arial"/>
                <w:color w:val="auto"/>
              </w:rPr>
              <w:t>3.196</w:t>
            </w:r>
          </w:p>
        </w:tc>
        <w:tc>
          <w:tcPr>
            <w:tcW w:w="1654" w:type="dxa"/>
            <w:tcBorders>
              <w:top w:val="single" w:sz="4" w:space="0" w:color="auto"/>
              <w:left w:val="nil"/>
              <w:bottom w:val="single" w:sz="4" w:space="0" w:color="auto"/>
              <w:right w:val="single" w:sz="4" w:space="0" w:color="auto"/>
            </w:tcBorders>
            <w:shd w:val="clear" w:color="auto" w:fill="auto"/>
            <w:vAlign w:val="center"/>
          </w:tcPr>
          <w:p w14:paraId="7EFE1BF0" w14:textId="77777777" w:rsidR="00AC33E0" w:rsidRPr="009B3230" w:rsidRDefault="00AC33E0" w:rsidP="00AC33E0">
            <w:pPr>
              <w:jc w:val="right"/>
              <w:rPr>
                <w:rFonts w:eastAsiaTheme="minorHAnsi" w:cs="Arial"/>
                <w:color w:val="auto"/>
              </w:rPr>
            </w:pPr>
            <w:r w:rsidRPr="009B3230">
              <w:rPr>
                <w:rFonts w:eastAsiaTheme="minorHAnsi" w:cs="Arial"/>
                <w:color w:val="auto"/>
              </w:rPr>
              <w:t>3.224</w:t>
            </w:r>
          </w:p>
        </w:tc>
      </w:tr>
      <w:tr w:rsidR="0093099B" w14:paraId="30B6379F" w14:textId="77777777" w:rsidTr="00AC33E0">
        <w:tblPrEx>
          <w:jc w:val="left"/>
        </w:tblPrEx>
        <w:trPr>
          <w:trHeight w:val="526"/>
        </w:trPr>
        <w:tc>
          <w:tcPr>
            <w:tcW w:w="3828" w:type="dxa"/>
            <w:vAlign w:val="center"/>
            <w:hideMark/>
          </w:tcPr>
          <w:p w14:paraId="3307D2D6" w14:textId="77777777" w:rsidR="00AC33E0" w:rsidRPr="009B3230" w:rsidRDefault="00AC33E0" w:rsidP="00AC33E0">
            <w:pPr>
              <w:rPr>
                <w:rFonts w:eastAsiaTheme="minorHAnsi" w:cs="Arial"/>
                <w:color w:val="auto"/>
              </w:rPr>
            </w:pPr>
            <w:r w:rsidRPr="009B3230">
              <w:rPr>
                <w:rFonts w:eastAsiaTheme="minorHAnsi" w:cs="Arial"/>
                <w:color w:val="auto"/>
              </w:rPr>
              <w:t>Better Care Fund</w:t>
            </w:r>
          </w:p>
        </w:tc>
        <w:tc>
          <w:tcPr>
            <w:tcW w:w="1653" w:type="dxa"/>
            <w:tcBorders>
              <w:top w:val="single" w:sz="4" w:space="0" w:color="auto"/>
              <w:left w:val="nil"/>
              <w:bottom w:val="nil"/>
              <w:right w:val="nil"/>
            </w:tcBorders>
            <w:shd w:val="clear" w:color="auto" w:fill="auto"/>
            <w:vAlign w:val="center"/>
          </w:tcPr>
          <w:p w14:paraId="4E303894" w14:textId="77777777" w:rsidR="00AC33E0" w:rsidRPr="009B3230" w:rsidRDefault="00AC33E0" w:rsidP="00AC33E0">
            <w:pPr>
              <w:jc w:val="right"/>
              <w:rPr>
                <w:rFonts w:eastAsiaTheme="minorHAnsi" w:cs="Arial"/>
                <w:color w:val="auto"/>
              </w:rPr>
            </w:pPr>
            <w:r w:rsidRPr="009B3230">
              <w:rPr>
                <w:rFonts w:eastAsiaTheme="minorHAnsi" w:cs="Arial"/>
                <w:color w:val="auto"/>
              </w:rPr>
              <w:t>45.532</w:t>
            </w:r>
          </w:p>
        </w:tc>
        <w:tc>
          <w:tcPr>
            <w:tcW w:w="1654" w:type="dxa"/>
            <w:tcBorders>
              <w:top w:val="single" w:sz="4" w:space="0" w:color="auto"/>
              <w:left w:val="single" w:sz="4" w:space="0" w:color="auto"/>
              <w:bottom w:val="nil"/>
              <w:right w:val="single" w:sz="4" w:space="0" w:color="auto"/>
            </w:tcBorders>
            <w:shd w:val="clear" w:color="auto" w:fill="auto"/>
            <w:vAlign w:val="center"/>
          </w:tcPr>
          <w:p w14:paraId="2AF761A1" w14:textId="77777777" w:rsidR="00AC33E0" w:rsidRPr="009B3230" w:rsidRDefault="00AC33E0" w:rsidP="00AC33E0">
            <w:pPr>
              <w:jc w:val="right"/>
              <w:rPr>
                <w:rFonts w:eastAsiaTheme="minorHAnsi" w:cs="Arial"/>
                <w:color w:val="auto"/>
              </w:rPr>
            </w:pPr>
            <w:r w:rsidRPr="009B3230">
              <w:rPr>
                <w:rFonts w:eastAsiaTheme="minorHAnsi" w:cs="Arial"/>
                <w:color w:val="auto"/>
              </w:rPr>
              <w:t>45.532</w:t>
            </w:r>
          </w:p>
        </w:tc>
        <w:tc>
          <w:tcPr>
            <w:tcW w:w="1654" w:type="dxa"/>
            <w:tcBorders>
              <w:top w:val="single" w:sz="4" w:space="0" w:color="auto"/>
              <w:left w:val="nil"/>
              <w:bottom w:val="nil"/>
              <w:right w:val="single" w:sz="4" w:space="0" w:color="auto"/>
            </w:tcBorders>
            <w:shd w:val="clear" w:color="auto" w:fill="auto"/>
            <w:vAlign w:val="center"/>
          </w:tcPr>
          <w:p w14:paraId="6F692B7C" w14:textId="77777777" w:rsidR="00AC33E0" w:rsidRPr="009B3230" w:rsidRDefault="00AC33E0" w:rsidP="00AC33E0">
            <w:pPr>
              <w:jc w:val="right"/>
              <w:rPr>
                <w:rFonts w:eastAsiaTheme="minorHAnsi" w:cs="Arial"/>
                <w:color w:val="auto"/>
              </w:rPr>
            </w:pPr>
            <w:r w:rsidRPr="009B3230">
              <w:rPr>
                <w:rFonts w:eastAsiaTheme="minorHAnsi" w:cs="Arial"/>
                <w:color w:val="auto"/>
              </w:rPr>
              <w:t>45.532</w:t>
            </w:r>
          </w:p>
        </w:tc>
      </w:tr>
      <w:tr w:rsidR="0093099B" w14:paraId="41E3170B" w14:textId="77777777" w:rsidTr="00AC33E0">
        <w:tblPrEx>
          <w:jc w:val="left"/>
        </w:tblPrEx>
        <w:trPr>
          <w:trHeight w:val="526"/>
        </w:trPr>
        <w:tc>
          <w:tcPr>
            <w:tcW w:w="3828" w:type="dxa"/>
            <w:vAlign w:val="center"/>
            <w:hideMark/>
          </w:tcPr>
          <w:p w14:paraId="5980A71A" w14:textId="77777777" w:rsidR="00AC33E0" w:rsidRPr="009B3230" w:rsidRDefault="00AC33E0" w:rsidP="00AC33E0">
            <w:pPr>
              <w:rPr>
                <w:rFonts w:eastAsiaTheme="minorHAnsi" w:cs="Arial"/>
                <w:color w:val="auto"/>
              </w:rPr>
            </w:pPr>
            <w:r w:rsidRPr="009B3230">
              <w:rPr>
                <w:rFonts w:eastAsiaTheme="minorHAnsi" w:cs="Arial"/>
                <w:color w:val="auto"/>
              </w:rPr>
              <w:t>Capital receipts</w:t>
            </w:r>
          </w:p>
        </w:tc>
        <w:tc>
          <w:tcPr>
            <w:tcW w:w="1653" w:type="dxa"/>
            <w:vAlign w:val="center"/>
          </w:tcPr>
          <w:p w14:paraId="37977034" w14:textId="77777777" w:rsidR="00AC33E0" w:rsidRPr="009B3230" w:rsidRDefault="00AC33E0" w:rsidP="00AC33E0">
            <w:pPr>
              <w:jc w:val="right"/>
              <w:rPr>
                <w:rFonts w:eastAsiaTheme="minorHAnsi" w:cs="Arial"/>
                <w:color w:val="auto"/>
              </w:rPr>
            </w:pPr>
            <w:r w:rsidRPr="009B3230">
              <w:rPr>
                <w:rFonts w:eastAsiaTheme="minorHAnsi" w:cs="Arial"/>
                <w:color w:val="auto"/>
              </w:rPr>
              <w:t>7.000</w:t>
            </w:r>
          </w:p>
        </w:tc>
        <w:tc>
          <w:tcPr>
            <w:tcW w:w="1654" w:type="dxa"/>
            <w:vAlign w:val="center"/>
          </w:tcPr>
          <w:p w14:paraId="47B859F9" w14:textId="77777777" w:rsidR="00AC33E0" w:rsidRPr="009B3230" w:rsidRDefault="00AC33E0" w:rsidP="00AC33E0">
            <w:pPr>
              <w:jc w:val="right"/>
              <w:rPr>
                <w:rFonts w:eastAsiaTheme="minorHAnsi" w:cs="Arial"/>
                <w:color w:val="auto"/>
              </w:rPr>
            </w:pPr>
            <w:r w:rsidRPr="009B3230">
              <w:rPr>
                <w:rFonts w:eastAsiaTheme="minorHAnsi" w:cs="Arial"/>
                <w:color w:val="auto"/>
              </w:rPr>
              <w:t>2.500</w:t>
            </w:r>
          </w:p>
        </w:tc>
        <w:tc>
          <w:tcPr>
            <w:tcW w:w="1654" w:type="dxa"/>
            <w:vAlign w:val="center"/>
          </w:tcPr>
          <w:p w14:paraId="0660928E" w14:textId="77777777" w:rsidR="00AC33E0" w:rsidRPr="009B3230" w:rsidRDefault="00AC33E0" w:rsidP="00AC33E0">
            <w:pPr>
              <w:jc w:val="right"/>
              <w:rPr>
                <w:rFonts w:eastAsiaTheme="minorHAnsi" w:cs="Arial"/>
                <w:color w:val="auto"/>
              </w:rPr>
            </w:pPr>
            <w:r w:rsidRPr="009B3230">
              <w:rPr>
                <w:rFonts w:eastAsiaTheme="minorHAnsi" w:cs="Arial"/>
                <w:color w:val="auto"/>
              </w:rPr>
              <w:t>0.000</w:t>
            </w:r>
          </w:p>
        </w:tc>
      </w:tr>
      <w:tr w:rsidR="0093099B" w14:paraId="74FE1E6F" w14:textId="77777777" w:rsidTr="00AC33E0">
        <w:tblPrEx>
          <w:jc w:val="left"/>
        </w:tblPrEx>
        <w:trPr>
          <w:trHeight w:val="526"/>
        </w:trPr>
        <w:tc>
          <w:tcPr>
            <w:tcW w:w="3828" w:type="dxa"/>
            <w:vAlign w:val="center"/>
            <w:hideMark/>
          </w:tcPr>
          <w:p w14:paraId="3FF7E972" w14:textId="77777777" w:rsidR="00AC33E0" w:rsidRPr="009B3230" w:rsidRDefault="00AC33E0" w:rsidP="00AC33E0">
            <w:pPr>
              <w:rPr>
                <w:rFonts w:eastAsiaTheme="minorHAnsi" w:cs="Arial"/>
                <w:color w:val="auto"/>
              </w:rPr>
            </w:pPr>
            <w:r w:rsidRPr="009B3230">
              <w:rPr>
                <w:rFonts w:eastAsiaTheme="minorHAnsi" w:cs="Arial"/>
                <w:color w:val="auto"/>
              </w:rPr>
              <w:t>Social Care Grant</w:t>
            </w:r>
          </w:p>
        </w:tc>
        <w:tc>
          <w:tcPr>
            <w:tcW w:w="1653" w:type="dxa"/>
            <w:tcBorders>
              <w:top w:val="nil"/>
              <w:left w:val="single" w:sz="4" w:space="0" w:color="auto"/>
              <w:bottom w:val="single" w:sz="4" w:space="0" w:color="auto"/>
              <w:right w:val="single" w:sz="4" w:space="0" w:color="auto"/>
            </w:tcBorders>
            <w:shd w:val="clear" w:color="auto" w:fill="auto"/>
            <w:vAlign w:val="center"/>
          </w:tcPr>
          <w:p w14:paraId="24C39C33" w14:textId="77777777" w:rsidR="00AC33E0" w:rsidRPr="009B3230" w:rsidRDefault="00AC33E0" w:rsidP="00AC33E0">
            <w:pPr>
              <w:jc w:val="right"/>
              <w:rPr>
                <w:rFonts w:eastAsiaTheme="minorHAnsi" w:cs="Arial"/>
                <w:color w:val="auto"/>
              </w:rPr>
            </w:pPr>
            <w:r w:rsidRPr="009B3230">
              <w:rPr>
                <w:rFonts w:eastAsiaTheme="minorHAnsi" w:cs="Arial"/>
                <w:color w:val="auto"/>
              </w:rPr>
              <w:t>9.427</w:t>
            </w:r>
          </w:p>
        </w:tc>
        <w:tc>
          <w:tcPr>
            <w:tcW w:w="1654" w:type="dxa"/>
            <w:tcBorders>
              <w:top w:val="nil"/>
              <w:left w:val="nil"/>
              <w:bottom w:val="single" w:sz="4" w:space="0" w:color="auto"/>
              <w:right w:val="single" w:sz="4" w:space="0" w:color="auto"/>
            </w:tcBorders>
            <w:shd w:val="clear" w:color="auto" w:fill="auto"/>
            <w:vAlign w:val="center"/>
          </w:tcPr>
          <w:p w14:paraId="7F4C0593" w14:textId="77777777" w:rsidR="00AC33E0" w:rsidRPr="009B3230" w:rsidRDefault="00AC33E0" w:rsidP="00AC33E0">
            <w:pPr>
              <w:jc w:val="right"/>
              <w:rPr>
                <w:rFonts w:eastAsiaTheme="minorHAnsi" w:cs="Arial"/>
                <w:color w:val="auto"/>
              </w:rPr>
            </w:pPr>
            <w:r w:rsidRPr="009B3230">
              <w:rPr>
                <w:rFonts w:eastAsiaTheme="minorHAnsi" w:cs="Arial"/>
                <w:color w:val="auto"/>
              </w:rPr>
              <w:t>9.427</w:t>
            </w:r>
          </w:p>
        </w:tc>
        <w:tc>
          <w:tcPr>
            <w:tcW w:w="1654" w:type="dxa"/>
            <w:tcBorders>
              <w:top w:val="nil"/>
              <w:left w:val="nil"/>
              <w:bottom w:val="single" w:sz="4" w:space="0" w:color="auto"/>
              <w:right w:val="single" w:sz="4" w:space="0" w:color="auto"/>
            </w:tcBorders>
            <w:shd w:val="clear" w:color="auto" w:fill="auto"/>
            <w:vAlign w:val="center"/>
          </w:tcPr>
          <w:p w14:paraId="227EC952" w14:textId="77777777" w:rsidR="00AC33E0" w:rsidRPr="009B3230" w:rsidRDefault="00AC33E0" w:rsidP="00AC33E0">
            <w:pPr>
              <w:jc w:val="right"/>
              <w:rPr>
                <w:rFonts w:eastAsiaTheme="minorHAnsi" w:cs="Arial"/>
                <w:color w:val="auto"/>
              </w:rPr>
            </w:pPr>
            <w:r w:rsidRPr="009B3230">
              <w:rPr>
                <w:rFonts w:eastAsiaTheme="minorHAnsi" w:cs="Arial"/>
                <w:color w:val="auto"/>
              </w:rPr>
              <w:t>9.427</w:t>
            </w:r>
          </w:p>
        </w:tc>
      </w:tr>
      <w:tr w:rsidR="0093099B" w14:paraId="6130E342" w14:textId="77777777" w:rsidTr="00AC33E0">
        <w:tblPrEx>
          <w:jc w:val="left"/>
        </w:tblPrEx>
        <w:trPr>
          <w:trHeight w:val="526"/>
        </w:trPr>
        <w:tc>
          <w:tcPr>
            <w:tcW w:w="3828" w:type="dxa"/>
            <w:vAlign w:val="center"/>
            <w:hideMark/>
          </w:tcPr>
          <w:p w14:paraId="53E28BBF" w14:textId="77777777" w:rsidR="00AC33E0" w:rsidRPr="009B3230" w:rsidRDefault="00AC33E0" w:rsidP="00AC33E0">
            <w:pPr>
              <w:rPr>
                <w:rFonts w:eastAsiaTheme="minorHAnsi" w:cs="Arial"/>
                <w:color w:val="auto"/>
              </w:rPr>
            </w:pPr>
            <w:r w:rsidRPr="009B3230">
              <w:rPr>
                <w:rFonts w:eastAsiaTheme="minorHAnsi" w:cs="Arial"/>
                <w:color w:val="auto"/>
              </w:rPr>
              <w:t>Collection Fund Surplus</w:t>
            </w:r>
          </w:p>
        </w:tc>
        <w:tc>
          <w:tcPr>
            <w:tcW w:w="1653" w:type="dxa"/>
            <w:tcBorders>
              <w:top w:val="single" w:sz="4" w:space="0" w:color="auto"/>
              <w:left w:val="nil"/>
              <w:bottom w:val="nil"/>
              <w:right w:val="nil"/>
            </w:tcBorders>
            <w:shd w:val="clear" w:color="auto" w:fill="auto"/>
            <w:vAlign w:val="center"/>
          </w:tcPr>
          <w:p w14:paraId="35180F4E" w14:textId="77777777" w:rsidR="00AC33E0" w:rsidRPr="009B3230" w:rsidRDefault="00AC33E0" w:rsidP="00AC33E0">
            <w:pPr>
              <w:jc w:val="right"/>
              <w:rPr>
                <w:rFonts w:eastAsiaTheme="minorHAnsi" w:cs="Arial"/>
                <w:color w:val="auto"/>
              </w:rPr>
            </w:pPr>
            <w:r w:rsidRPr="009B3230">
              <w:rPr>
                <w:rFonts w:eastAsiaTheme="minorHAnsi" w:cs="Arial"/>
                <w:color w:val="auto"/>
              </w:rPr>
              <w:t>3.750</w:t>
            </w:r>
          </w:p>
        </w:tc>
        <w:tc>
          <w:tcPr>
            <w:tcW w:w="1654" w:type="dxa"/>
            <w:tcBorders>
              <w:top w:val="single" w:sz="4" w:space="0" w:color="auto"/>
              <w:left w:val="single" w:sz="4" w:space="0" w:color="auto"/>
              <w:bottom w:val="nil"/>
              <w:right w:val="single" w:sz="4" w:space="0" w:color="auto"/>
            </w:tcBorders>
            <w:shd w:val="clear" w:color="auto" w:fill="auto"/>
            <w:vAlign w:val="center"/>
          </w:tcPr>
          <w:p w14:paraId="770FF2E8" w14:textId="77777777" w:rsidR="00AC33E0" w:rsidRPr="009B3230" w:rsidRDefault="00AC33E0" w:rsidP="00AC33E0">
            <w:pPr>
              <w:jc w:val="right"/>
              <w:rPr>
                <w:rFonts w:eastAsiaTheme="minorHAnsi" w:cs="Arial"/>
                <w:color w:val="auto"/>
              </w:rPr>
            </w:pPr>
            <w:r w:rsidRPr="009B3230">
              <w:rPr>
                <w:rFonts w:eastAsiaTheme="minorHAnsi" w:cs="Arial"/>
                <w:color w:val="auto"/>
              </w:rPr>
              <w:t>3.750</w:t>
            </w:r>
          </w:p>
        </w:tc>
        <w:tc>
          <w:tcPr>
            <w:tcW w:w="1654" w:type="dxa"/>
            <w:tcBorders>
              <w:top w:val="single" w:sz="4" w:space="0" w:color="auto"/>
              <w:left w:val="nil"/>
              <w:bottom w:val="nil"/>
              <w:right w:val="single" w:sz="4" w:space="0" w:color="auto"/>
            </w:tcBorders>
            <w:shd w:val="clear" w:color="auto" w:fill="auto"/>
            <w:vAlign w:val="center"/>
          </w:tcPr>
          <w:p w14:paraId="39E6AABD" w14:textId="77777777" w:rsidR="00AC33E0" w:rsidRPr="009B3230" w:rsidRDefault="00AC33E0" w:rsidP="00AC33E0">
            <w:pPr>
              <w:jc w:val="right"/>
              <w:rPr>
                <w:rFonts w:eastAsiaTheme="minorHAnsi" w:cs="Arial"/>
                <w:color w:val="auto"/>
              </w:rPr>
            </w:pPr>
            <w:r w:rsidRPr="009B3230">
              <w:rPr>
                <w:rFonts w:eastAsiaTheme="minorHAnsi" w:cs="Arial"/>
                <w:color w:val="auto"/>
              </w:rPr>
              <w:t>3.750</w:t>
            </w:r>
          </w:p>
        </w:tc>
      </w:tr>
      <w:tr w:rsidR="0093099B" w14:paraId="75E38D89" w14:textId="77777777" w:rsidTr="00AC33E0">
        <w:trPr>
          <w:trHeight w:val="552"/>
          <w:jc w:val="center"/>
        </w:trPr>
        <w:tc>
          <w:tcPr>
            <w:tcW w:w="3828" w:type="dxa"/>
            <w:shd w:val="clear" w:color="auto" w:fill="BFBFBF" w:themeFill="background1" w:themeFillShade="BF"/>
            <w:vAlign w:val="center"/>
          </w:tcPr>
          <w:p w14:paraId="2B8B4993" w14:textId="77777777" w:rsidR="00AC33E0" w:rsidRPr="00673506" w:rsidRDefault="00AC33E0" w:rsidP="00AC33E0">
            <w:pPr>
              <w:spacing w:after="0"/>
              <w:rPr>
                <w:rFonts w:eastAsiaTheme="minorHAnsi" w:cs="Arial"/>
                <w:b/>
              </w:rPr>
            </w:pPr>
            <w:r w:rsidRPr="00673506">
              <w:rPr>
                <w:rFonts w:eastAsiaTheme="minorHAnsi" w:cs="Arial"/>
                <w:b/>
              </w:rPr>
              <w:t>Total</w:t>
            </w:r>
          </w:p>
        </w:tc>
        <w:tc>
          <w:tcPr>
            <w:tcW w:w="1653" w:type="dxa"/>
            <w:shd w:val="clear" w:color="auto" w:fill="BFBFBF" w:themeFill="background1" w:themeFillShade="BF"/>
            <w:vAlign w:val="center"/>
          </w:tcPr>
          <w:p w14:paraId="199243C7" w14:textId="77777777" w:rsidR="00AC33E0" w:rsidRPr="00673506" w:rsidRDefault="00AC33E0" w:rsidP="00AC33E0">
            <w:pPr>
              <w:spacing w:after="0"/>
              <w:jc w:val="right"/>
              <w:rPr>
                <w:rFonts w:cs="Arial"/>
                <w:b/>
              </w:rPr>
            </w:pPr>
            <w:r>
              <w:rPr>
                <w:rFonts w:cs="Arial"/>
                <w:b/>
              </w:rPr>
              <w:t>817.061</w:t>
            </w:r>
          </w:p>
        </w:tc>
        <w:tc>
          <w:tcPr>
            <w:tcW w:w="1654" w:type="dxa"/>
            <w:shd w:val="clear" w:color="auto" w:fill="BFBFBF" w:themeFill="background1" w:themeFillShade="BF"/>
            <w:vAlign w:val="center"/>
          </w:tcPr>
          <w:p w14:paraId="1B3EE5B0" w14:textId="77777777" w:rsidR="00AC33E0" w:rsidRPr="00673506" w:rsidRDefault="00AC33E0" w:rsidP="00AC33E0">
            <w:pPr>
              <w:spacing w:after="0"/>
              <w:jc w:val="right"/>
              <w:rPr>
                <w:rFonts w:cs="Arial"/>
                <w:b/>
              </w:rPr>
            </w:pPr>
            <w:r>
              <w:rPr>
                <w:rFonts w:cs="Arial"/>
                <w:b/>
              </w:rPr>
              <w:t>802.558</w:t>
            </w:r>
          </w:p>
        </w:tc>
        <w:tc>
          <w:tcPr>
            <w:tcW w:w="1654" w:type="dxa"/>
            <w:shd w:val="clear" w:color="auto" w:fill="BFBFBF" w:themeFill="background1" w:themeFillShade="BF"/>
            <w:vAlign w:val="center"/>
          </w:tcPr>
          <w:p w14:paraId="56FE53D9" w14:textId="77777777" w:rsidR="00AC33E0" w:rsidRPr="00673506" w:rsidRDefault="00AC33E0" w:rsidP="00AC33E0">
            <w:pPr>
              <w:spacing w:after="0"/>
              <w:jc w:val="right"/>
              <w:rPr>
                <w:rFonts w:cs="Arial"/>
                <w:b/>
              </w:rPr>
            </w:pPr>
            <w:r>
              <w:rPr>
                <w:rFonts w:cs="Arial"/>
                <w:b/>
              </w:rPr>
              <w:t>823.065</w:t>
            </w:r>
          </w:p>
        </w:tc>
      </w:tr>
      <w:tr w:rsidR="0093099B" w14:paraId="534EC6B1" w14:textId="77777777" w:rsidTr="00AC33E0">
        <w:trPr>
          <w:trHeight w:val="552"/>
          <w:jc w:val="center"/>
        </w:trPr>
        <w:tc>
          <w:tcPr>
            <w:tcW w:w="3828" w:type="dxa"/>
            <w:shd w:val="clear" w:color="auto" w:fill="auto"/>
            <w:vAlign w:val="center"/>
          </w:tcPr>
          <w:p w14:paraId="35B9BB94" w14:textId="77777777" w:rsidR="00AC33E0" w:rsidRPr="00673506" w:rsidRDefault="00AC33E0" w:rsidP="00AC33E0">
            <w:pPr>
              <w:rPr>
                <w:rFonts w:eastAsiaTheme="minorHAnsi" w:cs="Arial"/>
                <w:b/>
              </w:rPr>
            </w:pPr>
          </w:p>
        </w:tc>
        <w:tc>
          <w:tcPr>
            <w:tcW w:w="1653" w:type="dxa"/>
            <w:shd w:val="clear" w:color="auto" w:fill="auto"/>
            <w:vAlign w:val="bottom"/>
          </w:tcPr>
          <w:p w14:paraId="315DEB84" w14:textId="77777777" w:rsidR="00AC33E0" w:rsidRDefault="00AC33E0" w:rsidP="00AC33E0">
            <w:pPr>
              <w:jc w:val="right"/>
              <w:rPr>
                <w:rFonts w:cs="Arial"/>
                <w:b/>
              </w:rPr>
            </w:pPr>
          </w:p>
        </w:tc>
        <w:tc>
          <w:tcPr>
            <w:tcW w:w="1654" w:type="dxa"/>
            <w:shd w:val="clear" w:color="auto" w:fill="auto"/>
            <w:vAlign w:val="bottom"/>
          </w:tcPr>
          <w:p w14:paraId="7B20FD1E" w14:textId="77777777" w:rsidR="00AC33E0" w:rsidRDefault="00AC33E0" w:rsidP="00AC33E0">
            <w:pPr>
              <w:jc w:val="right"/>
              <w:rPr>
                <w:rFonts w:cs="Arial"/>
                <w:b/>
              </w:rPr>
            </w:pPr>
          </w:p>
        </w:tc>
        <w:tc>
          <w:tcPr>
            <w:tcW w:w="1654" w:type="dxa"/>
            <w:shd w:val="clear" w:color="auto" w:fill="auto"/>
            <w:vAlign w:val="bottom"/>
          </w:tcPr>
          <w:p w14:paraId="3B9B63C1" w14:textId="77777777" w:rsidR="00AC33E0" w:rsidRDefault="00AC33E0" w:rsidP="00AC33E0">
            <w:pPr>
              <w:jc w:val="right"/>
              <w:rPr>
                <w:rFonts w:cs="Arial"/>
                <w:b/>
              </w:rPr>
            </w:pPr>
          </w:p>
        </w:tc>
      </w:tr>
      <w:tr w:rsidR="0093099B" w14:paraId="75CA0CBB" w14:textId="77777777" w:rsidTr="00AC33E0">
        <w:trPr>
          <w:trHeight w:val="552"/>
          <w:jc w:val="center"/>
        </w:trPr>
        <w:tc>
          <w:tcPr>
            <w:tcW w:w="3828" w:type="dxa"/>
            <w:shd w:val="clear" w:color="auto" w:fill="auto"/>
            <w:vAlign w:val="center"/>
          </w:tcPr>
          <w:p w14:paraId="10295D81" w14:textId="77777777" w:rsidR="00AC33E0" w:rsidRPr="00673506" w:rsidRDefault="00AC33E0" w:rsidP="00AC33E0">
            <w:pPr>
              <w:jc w:val="left"/>
              <w:rPr>
                <w:rFonts w:eastAsiaTheme="minorHAnsi" w:cs="Arial"/>
                <w:b/>
              </w:rPr>
            </w:pPr>
            <w:r>
              <w:rPr>
                <w:rFonts w:eastAsiaTheme="minorHAnsi" w:cs="Arial"/>
                <w:b/>
              </w:rPr>
              <w:t>Funding – Previous MTFS</w:t>
            </w:r>
          </w:p>
        </w:tc>
        <w:tc>
          <w:tcPr>
            <w:tcW w:w="1653" w:type="dxa"/>
            <w:shd w:val="clear" w:color="auto" w:fill="auto"/>
            <w:vAlign w:val="center"/>
          </w:tcPr>
          <w:p w14:paraId="1DF4D23E" w14:textId="77777777" w:rsidR="00AC33E0" w:rsidRDefault="00AC33E0" w:rsidP="00AC33E0">
            <w:pPr>
              <w:jc w:val="right"/>
              <w:rPr>
                <w:rFonts w:cs="Arial"/>
                <w:b/>
              </w:rPr>
            </w:pPr>
            <w:r>
              <w:rPr>
                <w:rFonts w:cs="Arial"/>
                <w:b/>
              </w:rPr>
              <w:t>781.440</w:t>
            </w:r>
          </w:p>
        </w:tc>
        <w:tc>
          <w:tcPr>
            <w:tcW w:w="1654" w:type="dxa"/>
            <w:shd w:val="clear" w:color="auto" w:fill="auto"/>
            <w:vAlign w:val="center"/>
          </w:tcPr>
          <w:p w14:paraId="543246B9" w14:textId="77777777" w:rsidR="00AC33E0" w:rsidRDefault="00AC33E0" w:rsidP="00AC33E0">
            <w:pPr>
              <w:jc w:val="right"/>
              <w:rPr>
                <w:rFonts w:cs="Arial"/>
                <w:b/>
              </w:rPr>
            </w:pPr>
            <w:r>
              <w:rPr>
                <w:rFonts w:cs="Arial"/>
                <w:b/>
              </w:rPr>
              <w:t>798.951</w:t>
            </w:r>
          </w:p>
        </w:tc>
        <w:tc>
          <w:tcPr>
            <w:tcW w:w="1654" w:type="dxa"/>
            <w:shd w:val="clear" w:color="auto" w:fill="auto"/>
            <w:vAlign w:val="center"/>
          </w:tcPr>
          <w:p w14:paraId="27D01BDF" w14:textId="77777777" w:rsidR="00AC33E0" w:rsidRDefault="00AC33E0" w:rsidP="00AC33E0">
            <w:pPr>
              <w:jc w:val="right"/>
              <w:rPr>
                <w:rFonts w:cs="Arial"/>
                <w:b/>
              </w:rPr>
            </w:pPr>
            <w:r>
              <w:rPr>
                <w:rFonts w:cs="Arial"/>
                <w:b/>
              </w:rPr>
              <w:t>824.353</w:t>
            </w:r>
          </w:p>
        </w:tc>
      </w:tr>
      <w:tr w:rsidR="0093099B" w14:paraId="4D89E9EA" w14:textId="77777777" w:rsidTr="00AC33E0">
        <w:trPr>
          <w:trHeight w:val="552"/>
          <w:jc w:val="center"/>
        </w:trPr>
        <w:tc>
          <w:tcPr>
            <w:tcW w:w="3828" w:type="dxa"/>
            <w:shd w:val="clear" w:color="auto" w:fill="BFBFBF" w:themeFill="background1" w:themeFillShade="BF"/>
            <w:vAlign w:val="center"/>
          </w:tcPr>
          <w:p w14:paraId="63575027" w14:textId="77777777" w:rsidR="00AC33E0" w:rsidRPr="00673506" w:rsidRDefault="00AC33E0" w:rsidP="00AC33E0">
            <w:pPr>
              <w:jc w:val="left"/>
              <w:rPr>
                <w:rFonts w:eastAsiaTheme="minorHAnsi" w:cs="Arial"/>
                <w:b/>
              </w:rPr>
            </w:pPr>
            <w:r>
              <w:rPr>
                <w:rFonts w:eastAsiaTheme="minorHAnsi" w:cs="Arial"/>
                <w:b/>
              </w:rPr>
              <w:t>Variance</w:t>
            </w:r>
          </w:p>
        </w:tc>
        <w:tc>
          <w:tcPr>
            <w:tcW w:w="1653" w:type="dxa"/>
            <w:shd w:val="clear" w:color="auto" w:fill="BFBFBF" w:themeFill="background1" w:themeFillShade="BF"/>
            <w:vAlign w:val="center"/>
          </w:tcPr>
          <w:p w14:paraId="27AAC980" w14:textId="77777777" w:rsidR="00AC33E0" w:rsidRDefault="00AC33E0" w:rsidP="00AC33E0">
            <w:pPr>
              <w:jc w:val="right"/>
              <w:rPr>
                <w:rFonts w:cs="Arial"/>
                <w:b/>
              </w:rPr>
            </w:pPr>
            <w:r>
              <w:rPr>
                <w:rFonts w:cs="Arial"/>
                <w:b/>
              </w:rPr>
              <w:t>35.621</w:t>
            </w:r>
          </w:p>
        </w:tc>
        <w:tc>
          <w:tcPr>
            <w:tcW w:w="1654" w:type="dxa"/>
            <w:shd w:val="clear" w:color="auto" w:fill="BFBFBF" w:themeFill="background1" w:themeFillShade="BF"/>
            <w:vAlign w:val="center"/>
          </w:tcPr>
          <w:p w14:paraId="5E010B77" w14:textId="77777777" w:rsidR="00AC33E0" w:rsidRDefault="00AC33E0" w:rsidP="00AC33E0">
            <w:pPr>
              <w:jc w:val="right"/>
              <w:rPr>
                <w:rFonts w:cs="Arial"/>
                <w:b/>
              </w:rPr>
            </w:pPr>
            <w:r>
              <w:rPr>
                <w:rFonts w:cs="Arial"/>
                <w:b/>
              </w:rPr>
              <w:t>3.607</w:t>
            </w:r>
          </w:p>
        </w:tc>
        <w:tc>
          <w:tcPr>
            <w:tcW w:w="1654" w:type="dxa"/>
            <w:shd w:val="clear" w:color="auto" w:fill="BFBFBF" w:themeFill="background1" w:themeFillShade="BF"/>
            <w:vAlign w:val="center"/>
          </w:tcPr>
          <w:p w14:paraId="6921B782" w14:textId="77777777" w:rsidR="00AC33E0" w:rsidRDefault="00AC33E0" w:rsidP="00AC33E0">
            <w:pPr>
              <w:jc w:val="right"/>
              <w:rPr>
                <w:rFonts w:cs="Arial"/>
                <w:b/>
              </w:rPr>
            </w:pPr>
            <w:r>
              <w:rPr>
                <w:rFonts w:cs="Arial"/>
                <w:b/>
              </w:rPr>
              <w:t>-1.288</w:t>
            </w:r>
          </w:p>
        </w:tc>
      </w:tr>
      <w:tr w:rsidR="0093099B" w14:paraId="291C3B77" w14:textId="77777777" w:rsidTr="00AC33E0">
        <w:trPr>
          <w:trHeight w:val="552"/>
          <w:jc w:val="center"/>
        </w:trPr>
        <w:tc>
          <w:tcPr>
            <w:tcW w:w="3828" w:type="dxa"/>
            <w:shd w:val="clear" w:color="auto" w:fill="BFBFBF" w:themeFill="background1" w:themeFillShade="BF"/>
            <w:vAlign w:val="center"/>
          </w:tcPr>
          <w:p w14:paraId="3EDFA13B" w14:textId="77777777" w:rsidR="00AC33E0" w:rsidRPr="00673506" w:rsidRDefault="00AC33E0" w:rsidP="00AC33E0">
            <w:pPr>
              <w:jc w:val="left"/>
              <w:rPr>
                <w:rFonts w:eastAsiaTheme="minorHAnsi" w:cs="Arial"/>
                <w:b/>
              </w:rPr>
            </w:pPr>
            <w:r>
              <w:rPr>
                <w:rFonts w:eastAsiaTheme="minorHAnsi" w:cs="Arial"/>
                <w:b/>
              </w:rPr>
              <w:t>Impact on financial gap</w:t>
            </w:r>
          </w:p>
        </w:tc>
        <w:tc>
          <w:tcPr>
            <w:tcW w:w="1653" w:type="dxa"/>
            <w:shd w:val="clear" w:color="auto" w:fill="BFBFBF" w:themeFill="background1" w:themeFillShade="BF"/>
            <w:vAlign w:val="center"/>
          </w:tcPr>
          <w:p w14:paraId="24392B81" w14:textId="77777777" w:rsidR="00AC33E0" w:rsidRDefault="00AC33E0" w:rsidP="00AC33E0">
            <w:pPr>
              <w:jc w:val="right"/>
              <w:rPr>
                <w:rFonts w:cs="Arial"/>
                <w:b/>
              </w:rPr>
            </w:pPr>
            <w:r>
              <w:rPr>
                <w:rFonts w:cs="Arial"/>
                <w:b/>
              </w:rPr>
              <w:t>-35.621</w:t>
            </w:r>
          </w:p>
        </w:tc>
        <w:tc>
          <w:tcPr>
            <w:tcW w:w="1654" w:type="dxa"/>
            <w:shd w:val="clear" w:color="auto" w:fill="BFBFBF" w:themeFill="background1" w:themeFillShade="BF"/>
            <w:vAlign w:val="center"/>
          </w:tcPr>
          <w:p w14:paraId="4046A9E3" w14:textId="77777777" w:rsidR="00AC33E0" w:rsidRDefault="00AC33E0" w:rsidP="00AC33E0">
            <w:pPr>
              <w:jc w:val="right"/>
              <w:rPr>
                <w:rFonts w:cs="Arial"/>
                <w:b/>
              </w:rPr>
            </w:pPr>
            <w:r>
              <w:rPr>
                <w:rFonts w:cs="Arial"/>
                <w:b/>
              </w:rPr>
              <w:t>32.014</w:t>
            </w:r>
          </w:p>
        </w:tc>
        <w:tc>
          <w:tcPr>
            <w:tcW w:w="1654" w:type="dxa"/>
            <w:shd w:val="clear" w:color="auto" w:fill="BFBFBF" w:themeFill="background1" w:themeFillShade="BF"/>
            <w:vAlign w:val="center"/>
          </w:tcPr>
          <w:p w14:paraId="71F041E1" w14:textId="77777777" w:rsidR="00AC33E0" w:rsidRDefault="00AC33E0" w:rsidP="00AC33E0">
            <w:pPr>
              <w:jc w:val="right"/>
              <w:rPr>
                <w:rFonts w:cs="Arial"/>
                <w:b/>
              </w:rPr>
            </w:pPr>
            <w:r>
              <w:rPr>
                <w:rFonts w:cs="Arial"/>
                <w:b/>
              </w:rPr>
              <w:t>4.895</w:t>
            </w:r>
          </w:p>
        </w:tc>
      </w:tr>
    </w:tbl>
    <w:p w14:paraId="3B221F45" w14:textId="77777777" w:rsidR="00AC33E0" w:rsidRDefault="00AC33E0" w:rsidP="00AC33E0">
      <w:pPr>
        <w:spacing w:after="0"/>
        <w:rPr>
          <w:rFonts w:cs="Arial"/>
          <w:b/>
          <w:highlight w:val="yellow"/>
        </w:rPr>
      </w:pPr>
    </w:p>
    <w:p w14:paraId="27166825" w14:textId="77777777" w:rsidR="00AC33E0" w:rsidRPr="009301DC" w:rsidRDefault="00AC33E0" w:rsidP="00AC33E0">
      <w:pPr>
        <w:spacing w:after="0"/>
        <w:rPr>
          <w:rFonts w:cs="Arial"/>
          <w:i/>
        </w:rPr>
      </w:pPr>
      <w:r w:rsidRPr="009301DC">
        <w:rPr>
          <w:rFonts w:cs="Arial"/>
          <w:b/>
          <w:i/>
        </w:rPr>
        <w:t xml:space="preserve">* </w:t>
      </w:r>
      <w:r w:rsidRPr="009301DC">
        <w:rPr>
          <w:rFonts w:cs="Arial"/>
          <w:i/>
        </w:rPr>
        <w:t xml:space="preserve">As part of the business rates pilot and subsequent retention scheme local authorities forgo their right to the revenue support grant (RSG) and this is </w:t>
      </w:r>
      <w:r>
        <w:rPr>
          <w:rFonts w:cs="Arial"/>
          <w:i/>
        </w:rPr>
        <w:t>encompassed within</w:t>
      </w:r>
      <w:r w:rsidRPr="009301DC">
        <w:rPr>
          <w:rFonts w:cs="Arial"/>
          <w:i/>
        </w:rPr>
        <w:t xml:space="preserve"> the business rates baseline. The value of RSG has been included in 2020/21 baseline figures, but not from 2021/22 onwards. </w:t>
      </w:r>
    </w:p>
    <w:p w14:paraId="21A61142" w14:textId="77777777" w:rsidR="00AC33E0" w:rsidRDefault="00AC33E0" w:rsidP="00AC33E0">
      <w:pPr>
        <w:spacing w:after="0"/>
        <w:rPr>
          <w:rFonts w:cs="Arial"/>
          <w:b/>
          <w:highlight w:val="yellow"/>
        </w:rPr>
      </w:pPr>
    </w:p>
    <w:p w14:paraId="7AF0E531" w14:textId="77777777" w:rsidR="00AC33E0" w:rsidRDefault="00AC33E0" w:rsidP="00AC33E0">
      <w:pPr>
        <w:spacing w:after="0"/>
        <w:rPr>
          <w:rFonts w:cs="Arial"/>
          <w:b/>
          <w:highlight w:val="yellow"/>
        </w:rPr>
      </w:pPr>
    </w:p>
    <w:p w14:paraId="06958F4D" w14:textId="77777777" w:rsidR="00AC33E0" w:rsidRDefault="00AC33E0" w:rsidP="00AC33E0">
      <w:pPr>
        <w:spacing w:after="0"/>
        <w:rPr>
          <w:rFonts w:cs="Arial"/>
          <w:b/>
          <w:highlight w:val="yellow"/>
        </w:rPr>
      </w:pPr>
    </w:p>
    <w:p w14:paraId="32A7323F" w14:textId="77777777" w:rsidR="00AC33E0" w:rsidRDefault="00AC33E0" w:rsidP="00AC33E0">
      <w:pPr>
        <w:spacing w:after="0"/>
        <w:rPr>
          <w:rFonts w:cs="Arial"/>
          <w:b/>
          <w:highlight w:val="yellow"/>
        </w:rPr>
      </w:pPr>
    </w:p>
    <w:p w14:paraId="533F7A58" w14:textId="77777777" w:rsidR="00AC33E0" w:rsidRDefault="00AC33E0" w:rsidP="00AC33E0">
      <w:pPr>
        <w:spacing w:after="0"/>
        <w:rPr>
          <w:rFonts w:cs="Arial"/>
          <w:b/>
          <w:highlight w:val="yellow"/>
        </w:rPr>
      </w:pPr>
    </w:p>
    <w:p w14:paraId="45456B8B" w14:textId="77777777" w:rsidR="00AC33E0" w:rsidRDefault="00AC33E0" w:rsidP="00AC33E0">
      <w:pPr>
        <w:spacing w:after="0"/>
        <w:rPr>
          <w:rFonts w:cs="Arial"/>
          <w:b/>
          <w:highlight w:val="yellow"/>
        </w:rPr>
      </w:pPr>
    </w:p>
    <w:p w14:paraId="133B8AB7" w14:textId="77777777" w:rsidR="00AC33E0" w:rsidRDefault="00AC33E0" w:rsidP="00AC33E0">
      <w:pPr>
        <w:spacing w:after="0"/>
        <w:rPr>
          <w:rFonts w:cs="Arial"/>
          <w:b/>
          <w:highlight w:val="yellow"/>
        </w:rPr>
      </w:pPr>
    </w:p>
    <w:p w14:paraId="6E455270" w14:textId="77777777" w:rsidR="00AC33E0" w:rsidRDefault="00AC33E0" w:rsidP="00AC33E0">
      <w:pPr>
        <w:spacing w:after="0"/>
        <w:rPr>
          <w:rFonts w:cs="Arial"/>
          <w:b/>
          <w:highlight w:val="yellow"/>
        </w:rPr>
      </w:pPr>
    </w:p>
    <w:p w14:paraId="74788939" w14:textId="77777777" w:rsidR="00AC33E0" w:rsidRDefault="00AC33E0" w:rsidP="00AC33E0">
      <w:pPr>
        <w:spacing w:after="0"/>
        <w:rPr>
          <w:rFonts w:cs="Arial"/>
          <w:b/>
          <w:highlight w:val="yellow"/>
        </w:rPr>
      </w:pPr>
    </w:p>
    <w:p w14:paraId="4F353755" w14:textId="77777777" w:rsidR="00AC33E0" w:rsidRDefault="00AC33E0" w:rsidP="00AC33E0">
      <w:pPr>
        <w:spacing w:after="0"/>
        <w:rPr>
          <w:rFonts w:cs="Arial"/>
          <w:b/>
          <w:highlight w:val="yellow"/>
        </w:rPr>
      </w:pPr>
    </w:p>
    <w:p w14:paraId="479899CF" w14:textId="77777777" w:rsidR="00AC33E0" w:rsidRDefault="00AC33E0" w:rsidP="00AC33E0">
      <w:pPr>
        <w:spacing w:after="0"/>
        <w:rPr>
          <w:rFonts w:cs="Arial"/>
          <w:b/>
          <w:highlight w:val="yellow"/>
        </w:rPr>
      </w:pPr>
    </w:p>
    <w:p w14:paraId="77EFF6C7" w14:textId="77777777" w:rsidR="00624199" w:rsidRDefault="00624199" w:rsidP="00AC33E0">
      <w:pPr>
        <w:spacing w:after="0"/>
        <w:rPr>
          <w:rFonts w:cs="Arial"/>
          <w:b/>
          <w:highlight w:val="yellow"/>
        </w:rPr>
      </w:pPr>
    </w:p>
    <w:p w14:paraId="4451838C" w14:textId="77777777" w:rsidR="00AC33E0" w:rsidRDefault="00AC33E0" w:rsidP="00AC33E0">
      <w:pPr>
        <w:spacing w:after="0"/>
        <w:rPr>
          <w:rFonts w:cs="Arial"/>
          <w:b/>
        </w:rPr>
      </w:pPr>
    </w:p>
    <w:p w14:paraId="06307A8A" w14:textId="77777777" w:rsidR="00AC33E0" w:rsidRPr="005E4657" w:rsidRDefault="00AC33E0" w:rsidP="00AC33E0">
      <w:pPr>
        <w:spacing w:after="0"/>
        <w:rPr>
          <w:rFonts w:cs="Arial"/>
          <w:b/>
        </w:rPr>
      </w:pPr>
      <w:r w:rsidRPr="005E4657">
        <w:rPr>
          <w:rFonts w:cs="Arial"/>
          <w:b/>
        </w:rPr>
        <w:lastRenderedPageBreak/>
        <w:t xml:space="preserve">2.1 Council Tax and Business Rates </w:t>
      </w:r>
    </w:p>
    <w:p w14:paraId="0CD9AA19" w14:textId="77777777" w:rsidR="00AC33E0" w:rsidRPr="005E4657" w:rsidRDefault="00AC33E0" w:rsidP="00AC33E0">
      <w:pPr>
        <w:spacing w:after="0"/>
        <w:rPr>
          <w:rFonts w:cs="Arial"/>
        </w:rPr>
      </w:pPr>
    </w:p>
    <w:p w14:paraId="155F29C5" w14:textId="77777777" w:rsidR="00AC33E0" w:rsidRPr="005E4657" w:rsidRDefault="00AC33E0" w:rsidP="00AC33E0">
      <w:pPr>
        <w:spacing w:after="0"/>
        <w:rPr>
          <w:rFonts w:cs="Arial"/>
          <w:b/>
          <w:i/>
        </w:rPr>
      </w:pPr>
      <w:r w:rsidRPr="005E4657">
        <w:rPr>
          <w:rFonts w:cs="Arial"/>
          <w:b/>
          <w:i/>
        </w:rPr>
        <w:t>Council Tax</w:t>
      </w:r>
    </w:p>
    <w:p w14:paraId="7ED2363E" w14:textId="77777777" w:rsidR="00AC33E0" w:rsidRPr="005E4657" w:rsidRDefault="00AC33E0" w:rsidP="00AC33E0">
      <w:pPr>
        <w:spacing w:after="0"/>
        <w:rPr>
          <w:rFonts w:cs="Arial"/>
          <w:b/>
          <w:i/>
        </w:rPr>
      </w:pPr>
    </w:p>
    <w:p w14:paraId="6177D3E5" w14:textId="77777777" w:rsidR="00AC33E0" w:rsidRPr="005E4657" w:rsidRDefault="00AC33E0" w:rsidP="00AC33E0">
      <w:pPr>
        <w:spacing w:after="0"/>
        <w:rPr>
          <w:rFonts w:cs="Arial"/>
        </w:rPr>
      </w:pPr>
      <w:r w:rsidRPr="005E4657">
        <w:rPr>
          <w:rFonts w:cs="Arial"/>
        </w:rPr>
        <w:t xml:space="preserve">The MTFS currently reflects the following assumptions in relation to the county council's council tax increases as previously reported to cabinet, however this is a decision for full council to make each year when setting the budget.  </w:t>
      </w:r>
    </w:p>
    <w:p w14:paraId="4D08DD45" w14:textId="77777777" w:rsidR="00AC33E0" w:rsidRPr="009C69DC" w:rsidRDefault="00AC33E0" w:rsidP="00AC33E0">
      <w:pPr>
        <w:spacing w:after="0"/>
        <w:rPr>
          <w:rFonts w:cs="Arial"/>
          <w:highlight w:val="yellow"/>
        </w:rPr>
      </w:pPr>
    </w:p>
    <w:p w14:paraId="681D7B2D" w14:textId="77777777" w:rsidR="00AC33E0" w:rsidRPr="00D21C57" w:rsidRDefault="00AC33E0" w:rsidP="00AC33E0">
      <w:pPr>
        <w:spacing w:after="0"/>
        <w:rPr>
          <w:rFonts w:cs="Arial"/>
          <w:b/>
          <w:i/>
          <w:u w:val="single"/>
        </w:rPr>
      </w:pPr>
      <w:r w:rsidRPr="00D21C57">
        <w:rPr>
          <w:rFonts w:cs="Arial"/>
          <w:b/>
          <w:i/>
          <w:u w:val="single"/>
        </w:rPr>
        <w:t>Table 3</w:t>
      </w:r>
    </w:p>
    <w:p w14:paraId="4E0B68C1" w14:textId="77777777" w:rsidR="00AC33E0" w:rsidRPr="009C69DC" w:rsidRDefault="00AC33E0" w:rsidP="00AC33E0">
      <w:pPr>
        <w:spacing w:after="0"/>
        <w:rPr>
          <w:rFonts w:cs="Arial"/>
          <w:highlight w:val="yellow"/>
        </w:rPr>
      </w:pPr>
    </w:p>
    <w:tbl>
      <w:tblPr>
        <w:tblStyle w:val="TableGrid"/>
        <w:tblW w:w="0" w:type="auto"/>
        <w:tblLook w:val="04A0" w:firstRow="1" w:lastRow="0" w:firstColumn="1" w:lastColumn="0" w:noHBand="0" w:noVBand="1"/>
      </w:tblPr>
      <w:tblGrid>
        <w:gridCol w:w="1129"/>
        <w:gridCol w:w="2552"/>
        <w:gridCol w:w="1778"/>
        <w:gridCol w:w="1778"/>
        <w:gridCol w:w="1779"/>
      </w:tblGrid>
      <w:tr w:rsidR="0093099B" w14:paraId="15044148" w14:textId="77777777" w:rsidTr="00AC33E0">
        <w:tc>
          <w:tcPr>
            <w:tcW w:w="1129" w:type="dxa"/>
          </w:tcPr>
          <w:p w14:paraId="26BE942C" w14:textId="77777777" w:rsidR="00AC33E0" w:rsidRPr="00D21C57" w:rsidRDefault="00AC33E0" w:rsidP="00AC33E0">
            <w:pPr>
              <w:spacing w:after="0"/>
              <w:rPr>
                <w:rFonts w:cs="Arial"/>
              </w:rPr>
            </w:pPr>
          </w:p>
        </w:tc>
        <w:tc>
          <w:tcPr>
            <w:tcW w:w="2552" w:type="dxa"/>
            <w:vAlign w:val="center"/>
          </w:tcPr>
          <w:p w14:paraId="78473093" w14:textId="77777777" w:rsidR="00AC33E0" w:rsidRPr="00D21C57" w:rsidRDefault="00AC33E0" w:rsidP="00AC33E0">
            <w:pPr>
              <w:spacing w:after="0"/>
              <w:jc w:val="center"/>
              <w:rPr>
                <w:rFonts w:cs="Arial"/>
              </w:rPr>
            </w:pPr>
            <w:r w:rsidRPr="00D21C57">
              <w:rPr>
                <w:rFonts w:cs="Arial"/>
              </w:rPr>
              <w:t>Council Tax increase (no referendum required)</w:t>
            </w:r>
          </w:p>
        </w:tc>
        <w:tc>
          <w:tcPr>
            <w:tcW w:w="1778" w:type="dxa"/>
            <w:vAlign w:val="center"/>
          </w:tcPr>
          <w:p w14:paraId="5E1F7A60" w14:textId="77777777" w:rsidR="00AC33E0" w:rsidRPr="00D21C57" w:rsidRDefault="00AC33E0" w:rsidP="00AC33E0">
            <w:pPr>
              <w:spacing w:after="0"/>
              <w:jc w:val="center"/>
              <w:rPr>
                <w:rFonts w:cs="Arial"/>
              </w:rPr>
            </w:pPr>
            <w:r w:rsidRPr="00D21C57">
              <w:rPr>
                <w:rFonts w:cs="Arial"/>
              </w:rPr>
              <w:t>Additional council tax flexibility</w:t>
            </w:r>
          </w:p>
        </w:tc>
        <w:tc>
          <w:tcPr>
            <w:tcW w:w="1778" w:type="dxa"/>
            <w:vAlign w:val="center"/>
          </w:tcPr>
          <w:p w14:paraId="78A6A231" w14:textId="77777777" w:rsidR="00AC33E0" w:rsidRPr="00D21C57" w:rsidRDefault="00AC33E0" w:rsidP="00AC33E0">
            <w:pPr>
              <w:spacing w:after="0"/>
              <w:jc w:val="center"/>
              <w:rPr>
                <w:rFonts w:cs="Arial"/>
              </w:rPr>
            </w:pPr>
            <w:r w:rsidRPr="00D21C57">
              <w:rPr>
                <w:rFonts w:cs="Arial"/>
              </w:rPr>
              <w:t>Adult Social Care Precept</w:t>
            </w:r>
          </w:p>
        </w:tc>
        <w:tc>
          <w:tcPr>
            <w:tcW w:w="1779" w:type="dxa"/>
            <w:vAlign w:val="center"/>
          </w:tcPr>
          <w:p w14:paraId="2BA93287" w14:textId="77777777" w:rsidR="00AC33E0" w:rsidRPr="00D21C57" w:rsidRDefault="00AC33E0" w:rsidP="00AC33E0">
            <w:pPr>
              <w:spacing w:after="0"/>
              <w:jc w:val="center"/>
              <w:rPr>
                <w:rFonts w:cs="Arial"/>
              </w:rPr>
            </w:pPr>
            <w:r w:rsidRPr="00D21C57">
              <w:rPr>
                <w:rFonts w:cs="Arial"/>
              </w:rPr>
              <w:t>Total council tax increase</w:t>
            </w:r>
          </w:p>
        </w:tc>
      </w:tr>
      <w:tr w:rsidR="0093099B" w14:paraId="5256D142" w14:textId="77777777" w:rsidTr="00AC33E0">
        <w:tc>
          <w:tcPr>
            <w:tcW w:w="1129" w:type="dxa"/>
          </w:tcPr>
          <w:p w14:paraId="5F4931A2" w14:textId="77777777" w:rsidR="00AC33E0" w:rsidRPr="00D21C57" w:rsidRDefault="00AC33E0" w:rsidP="00AC33E0">
            <w:pPr>
              <w:spacing w:after="0"/>
              <w:rPr>
                <w:rFonts w:cs="Arial"/>
              </w:rPr>
            </w:pPr>
            <w:r w:rsidRPr="00D21C57">
              <w:rPr>
                <w:rFonts w:cs="Arial"/>
              </w:rPr>
              <w:t>2020/21</w:t>
            </w:r>
          </w:p>
        </w:tc>
        <w:tc>
          <w:tcPr>
            <w:tcW w:w="2552" w:type="dxa"/>
          </w:tcPr>
          <w:p w14:paraId="160202D3" w14:textId="77777777" w:rsidR="00AC33E0" w:rsidRPr="00D21C57" w:rsidRDefault="00AC33E0" w:rsidP="00AC33E0">
            <w:pPr>
              <w:spacing w:after="0"/>
              <w:jc w:val="right"/>
              <w:rPr>
                <w:rFonts w:cs="Arial"/>
              </w:rPr>
            </w:pPr>
            <w:r w:rsidRPr="00D21C57">
              <w:rPr>
                <w:rFonts w:cs="Arial"/>
              </w:rPr>
              <w:t>1.99%</w:t>
            </w:r>
          </w:p>
        </w:tc>
        <w:tc>
          <w:tcPr>
            <w:tcW w:w="1778" w:type="dxa"/>
          </w:tcPr>
          <w:p w14:paraId="66330C80" w14:textId="77777777" w:rsidR="00AC33E0" w:rsidRPr="00D21C57" w:rsidRDefault="00AC33E0" w:rsidP="00AC33E0">
            <w:pPr>
              <w:spacing w:after="0"/>
              <w:jc w:val="right"/>
              <w:rPr>
                <w:rFonts w:cs="Arial"/>
              </w:rPr>
            </w:pPr>
            <w:r>
              <w:rPr>
                <w:rFonts w:cs="Arial"/>
              </w:rPr>
              <w:t>0.00%</w:t>
            </w:r>
          </w:p>
        </w:tc>
        <w:tc>
          <w:tcPr>
            <w:tcW w:w="1778" w:type="dxa"/>
          </w:tcPr>
          <w:p w14:paraId="4F737F03" w14:textId="77777777" w:rsidR="00AC33E0" w:rsidRPr="00D21C57" w:rsidRDefault="00AC33E0" w:rsidP="00AC33E0">
            <w:pPr>
              <w:spacing w:after="0"/>
              <w:jc w:val="right"/>
              <w:rPr>
                <w:rFonts w:cs="Arial"/>
              </w:rPr>
            </w:pPr>
            <w:r>
              <w:rPr>
                <w:rFonts w:cs="Arial"/>
              </w:rPr>
              <w:t>0.00%</w:t>
            </w:r>
          </w:p>
        </w:tc>
        <w:tc>
          <w:tcPr>
            <w:tcW w:w="1779" w:type="dxa"/>
          </w:tcPr>
          <w:p w14:paraId="1CDC813D" w14:textId="77777777" w:rsidR="00AC33E0" w:rsidRPr="00D21C57" w:rsidRDefault="00AC33E0" w:rsidP="00AC33E0">
            <w:pPr>
              <w:spacing w:after="0"/>
              <w:jc w:val="right"/>
              <w:rPr>
                <w:rFonts w:cs="Arial"/>
              </w:rPr>
            </w:pPr>
            <w:r w:rsidRPr="00D21C57">
              <w:rPr>
                <w:rFonts w:cs="Arial"/>
              </w:rPr>
              <w:t>1.99%</w:t>
            </w:r>
          </w:p>
        </w:tc>
      </w:tr>
      <w:tr w:rsidR="0093099B" w14:paraId="106E1348" w14:textId="77777777" w:rsidTr="00AC33E0">
        <w:tc>
          <w:tcPr>
            <w:tcW w:w="1129" w:type="dxa"/>
          </w:tcPr>
          <w:p w14:paraId="67A6B17B" w14:textId="77777777" w:rsidR="00AC33E0" w:rsidRPr="00D21C57" w:rsidRDefault="00AC33E0" w:rsidP="00AC33E0">
            <w:pPr>
              <w:spacing w:after="0"/>
              <w:rPr>
                <w:rFonts w:cs="Arial"/>
              </w:rPr>
            </w:pPr>
            <w:r w:rsidRPr="00D21C57">
              <w:rPr>
                <w:rFonts w:cs="Arial"/>
              </w:rPr>
              <w:t>2021/22</w:t>
            </w:r>
          </w:p>
        </w:tc>
        <w:tc>
          <w:tcPr>
            <w:tcW w:w="2552" w:type="dxa"/>
          </w:tcPr>
          <w:p w14:paraId="00F3BA17" w14:textId="77777777" w:rsidR="00AC33E0" w:rsidRPr="00D21C57" w:rsidRDefault="00AC33E0" w:rsidP="00AC33E0">
            <w:pPr>
              <w:spacing w:after="0"/>
              <w:jc w:val="right"/>
              <w:rPr>
                <w:rFonts w:cs="Arial"/>
              </w:rPr>
            </w:pPr>
            <w:r w:rsidRPr="00D21C57">
              <w:rPr>
                <w:rFonts w:cs="Arial"/>
              </w:rPr>
              <w:t>1.99%</w:t>
            </w:r>
          </w:p>
        </w:tc>
        <w:tc>
          <w:tcPr>
            <w:tcW w:w="1778" w:type="dxa"/>
          </w:tcPr>
          <w:p w14:paraId="2136C83E" w14:textId="77777777" w:rsidR="00AC33E0" w:rsidRPr="00D21C57" w:rsidRDefault="00AC33E0" w:rsidP="00AC33E0">
            <w:pPr>
              <w:spacing w:after="0"/>
              <w:jc w:val="right"/>
              <w:rPr>
                <w:rFonts w:cs="Arial"/>
              </w:rPr>
            </w:pPr>
            <w:r>
              <w:rPr>
                <w:rFonts w:cs="Arial"/>
              </w:rPr>
              <w:t>0.00%</w:t>
            </w:r>
          </w:p>
        </w:tc>
        <w:tc>
          <w:tcPr>
            <w:tcW w:w="1778" w:type="dxa"/>
          </w:tcPr>
          <w:p w14:paraId="4DACBBBB" w14:textId="77777777" w:rsidR="00AC33E0" w:rsidRPr="00D21C57" w:rsidRDefault="00AC33E0" w:rsidP="00AC33E0">
            <w:pPr>
              <w:spacing w:after="0"/>
              <w:jc w:val="right"/>
              <w:rPr>
                <w:rFonts w:cs="Arial"/>
              </w:rPr>
            </w:pPr>
            <w:r>
              <w:rPr>
                <w:rFonts w:cs="Arial"/>
              </w:rPr>
              <w:t>0.00%</w:t>
            </w:r>
          </w:p>
        </w:tc>
        <w:tc>
          <w:tcPr>
            <w:tcW w:w="1779" w:type="dxa"/>
          </w:tcPr>
          <w:p w14:paraId="76AAC5AA" w14:textId="77777777" w:rsidR="00AC33E0" w:rsidRPr="00D21C57" w:rsidRDefault="00AC33E0" w:rsidP="00AC33E0">
            <w:pPr>
              <w:spacing w:after="0"/>
              <w:jc w:val="right"/>
              <w:rPr>
                <w:rFonts w:cs="Arial"/>
              </w:rPr>
            </w:pPr>
            <w:r w:rsidRPr="00D21C57">
              <w:rPr>
                <w:rFonts w:cs="Arial"/>
              </w:rPr>
              <w:t>1.99%</w:t>
            </w:r>
          </w:p>
        </w:tc>
      </w:tr>
      <w:tr w:rsidR="0093099B" w14:paraId="5813D13A" w14:textId="77777777" w:rsidTr="00AC33E0">
        <w:tc>
          <w:tcPr>
            <w:tcW w:w="1129" w:type="dxa"/>
          </w:tcPr>
          <w:p w14:paraId="69E662D5" w14:textId="77777777" w:rsidR="00AC33E0" w:rsidRPr="00D21C57" w:rsidRDefault="00AC33E0" w:rsidP="00AC33E0">
            <w:pPr>
              <w:spacing w:after="0"/>
              <w:rPr>
                <w:rFonts w:cs="Arial"/>
              </w:rPr>
            </w:pPr>
            <w:r w:rsidRPr="00D21C57">
              <w:rPr>
                <w:rFonts w:cs="Arial"/>
              </w:rPr>
              <w:t>2022/23</w:t>
            </w:r>
          </w:p>
        </w:tc>
        <w:tc>
          <w:tcPr>
            <w:tcW w:w="2552" w:type="dxa"/>
          </w:tcPr>
          <w:p w14:paraId="466A6FA1" w14:textId="77777777" w:rsidR="00AC33E0" w:rsidRPr="00D21C57" w:rsidRDefault="00AC33E0" w:rsidP="00AC33E0">
            <w:pPr>
              <w:spacing w:after="0"/>
              <w:jc w:val="right"/>
              <w:rPr>
                <w:rFonts w:cs="Arial"/>
              </w:rPr>
            </w:pPr>
            <w:r w:rsidRPr="00D21C57">
              <w:rPr>
                <w:rFonts w:cs="Arial"/>
              </w:rPr>
              <w:t>1.99%</w:t>
            </w:r>
          </w:p>
        </w:tc>
        <w:tc>
          <w:tcPr>
            <w:tcW w:w="1778" w:type="dxa"/>
          </w:tcPr>
          <w:p w14:paraId="7C493CB1" w14:textId="77777777" w:rsidR="00AC33E0" w:rsidRPr="00D21C57" w:rsidRDefault="00AC33E0" w:rsidP="00AC33E0">
            <w:pPr>
              <w:spacing w:after="0"/>
              <w:jc w:val="right"/>
              <w:rPr>
                <w:rFonts w:cs="Arial"/>
              </w:rPr>
            </w:pPr>
            <w:r>
              <w:rPr>
                <w:rFonts w:cs="Arial"/>
              </w:rPr>
              <w:t>0.00%</w:t>
            </w:r>
          </w:p>
        </w:tc>
        <w:tc>
          <w:tcPr>
            <w:tcW w:w="1778" w:type="dxa"/>
          </w:tcPr>
          <w:p w14:paraId="20AA3DE6" w14:textId="77777777" w:rsidR="00AC33E0" w:rsidRPr="00D21C57" w:rsidRDefault="00AC33E0" w:rsidP="00AC33E0">
            <w:pPr>
              <w:spacing w:after="0"/>
              <w:jc w:val="right"/>
              <w:rPr>
                <w:rFonts w:cs="Arial"/>
              </w:rPr>
            </w:pPr>
            <w:r>
              <w:rPr>
                <w:rFonts w:cs="Arial"/>
              </w:rPr>
              <w:t>0.00%</w:t>
            </w:r>
          </w:p>
        </w:tc>
        <w:tc>
          <w:tcPr>
            <w:tcW w:w="1779" w:type="dxa"/>
          </w:tcPr>
          <w:p w14:paraId="3E15741A" w14:textId="77777777" w:rsidR="00AC33E0" w:rsidRPr="00D21C57" w:rsidRDefault="00AC33E0" w:rsidP="00AC33E0">
            <w:pPr>
              <w:spacing w:after="0"/>
              <w:jc w:val="right"/>
              <w:rPr>
                <w:rFonts w:cs="Arial"/>
              </w:rPr>
            </w:pPr>
            <w:r w:rsidRPr="00D21C57">
              <w:rPr>
                <w:rFonts w:cs="Arial"/>
              </w:rPr>
              <w:t>1.99%</w:t>
            </w:r>
          </w:p>
        </w:tc>
      </w:tr>
    </w:tbl>
    <w:p w14:paraId="62738EED" w14:textId="77777777" w:rsidR="00AC33E0" w:rsidRPr="009C69DC" w:rsidRDefault="00AC33E0" w:rsidP="00AC33E0">
      <w:pPr>
        <w:spacing w:after="0"/>
        <w:rPr>
          <w:rFonts w:cs="Arial"/>
          <w:highlight w:val="yellow"/>
        </w:rPr>
      </w:pPr>
    </w:p>
    <w:p w14:paraId="063EF810" w14:textId="413BA67D" w:rsidR="00AC33E0" w:rsidRPr="00D21C57" w:rsidRDefault="00AC33E0" w:rsidP="00AC33E0">
      <w:pPr>
        <w:spacing w:after="0"/>
        <w:rPr>
          <w:rFonts w:cs="Arial"/>
          <w:u w:val="single"/>
        </w:rPr>
      </w:pPr>
      <w:r w:rsidRPr="00D21C57">
        <w:rPr>
          <w:rFonts w:cs="Arial"/>
        </w:rPr>
        <w:t>From 2020/21 onwards, it is assumed the maximum increase that the county council is able to apply to council tax, without a referendum, is 1.99%</w:t>
      </w:r>
      <w:r w:rsidR="00605559">
        <w:rPr>
          <w:rFonts w:cs="Arial"/>
        </w:rPr>
        <w:t xml:space="preserve">. This continues the assumption that </w:t>
      </w:r>
      <w:r w:rsidRPr="00D21C57">
        <w:rPr>
          <w:rFonts w:cs="Arial"/>
        </w:rPr>
        <w:t>the option</w:t>
      </w:r>
      <w:r w:rsidR="00605559">
        <w:rPr>
          <w:rFonts w:cs="Arial"/>
        </w:rPr>
        <w:t>s</w:t>
      </w:r>
      <w:r w:rsidRPr="00D21C57">
        <w:rPr>
          <w:rFonts w:cs="Arial"/>
        </w:rPr>
        <w:t xml:space="preserve"> to raise an adult social care precept and the additional 1% flexibility cease after 2019/20. Any decisions not to increase council tax in line with the assumptions above would increase the financial gap; every 1% in council tax yields c£5m.</w:t>
      </w:r>
      <w:r w:rsidRPr="00D21C57">
        <w:rPr>
          <w:rFonts w:cs="Arial"/>
          <w:u w:val="single"/>
        </w:rPr>
        <w:t xml:space="preserve"> </w:t>
      </w:r>
    </w:p>
    <w:p w14:paraId="38BF28BF" w14:textId="77777777" w:rsidR="00AC33E0" w:rsidRPr="009C69DC" w:rsidRDefault="00AC33E0" w:rsidP="00AC33E0">
      <w:pPr>
        <w:spacing w:after="0"/>
        <w:rPr>
          <w:rFonts w:cs="Arial"/>
          <w:highlight w:val="yellow"/>
          <w:u w:val="single"/>
        </w:rPr>
      </w:pPr>
    </w:p>
    <w:p w14:paraId="188B044D" w14:textId="33C53429" w:rsidR="00AC33E0" w:rsidRPr="005E4657" w:rsidRDefault="00AC33E0" w:rsidP="00AC33E0">
      <w:pPr>
        <w:spacing w:after="0"/>
        <w:rPr>
          <w:rFonts w:cs="Arial"/>
        </w:rPr>
      </w:pPr>
      <w:r>
        <w:rPr>
          <w:rFonts w:cs="Arial"/>
        </w:rPr>
        <w:t>Within the current MTFS a tax base increase of 1.7% is included, which is the same position as in the previously reported MTFS based on historical average increases. However, in the most recent data available the tax base forecast position for 2019/20 for Lancashire was 1.4%. At this stage the average increase of 1.7% has been maintained within the MTFS, as we anticipate hav</w:t>
      </w:r>
      <w:r w:rsidR="005B099C">
        <w:rPr>
          <w:rFonts w:cs="Arial"/>
        </w:rPr>
        <w:t>ing a</w:t>
      </w:r>
      <w:r>
        <w:rPr>
          <w:rFonts w:cs="Arial"/>
        </w:rPr>
        <w:t xml:space="preserve">n offsetting increase on the collection fund (which has also not been built into the MTFS at this stage) that could be increased due to prudent estimations of growth from district councils, based again on historical surplus positons. </w:t>
      </w:r>
    </w:p>
    <w:p w14:paraId="2830BA71" w14:textId="77777777" w:rsidR="00AC33E0" w:rsidRPr="009C69DC" w:rsidRDefault="00AC33E0" w:rsidP="00AC33E0">
      <w:pPr>
        <w:spacing w:after="0"/>
        <w:rPr>
          <w:rFonts w:cs="Arial"/>
          <w:b/>
          <w:highlight w:val="yellow"/>
        </w:rPr>
      </w:pPr>
    </w:p>
    <w:p w14:paraId="706D4AED" w14:textId="77777777" w:rsidR="00AC33E0" w:rsidRPr="0045582C" w:rsidRDefault="00AC33E0" w:rsidP="00AC33E0">
      <w:pPr>
        <w:spacing w:after="0"/>
        <w:rPr>
          <w:rFonts w:cs="Arial"/>
          <w:b/>
          <w:i/>
        </w:rPr>
      </w:pPr>
      <w:r w:rsidRPr="0045582C">
        <w:rPr>
          <w:rFonts w:cs="Arial"/>
          <w:b/>
          <w:i/>
        </w:rPr>
        <w:t xml:space="preserve">Business Rates </w:t>
      </w:r>
    </w:p>
    <w:p w14:paraId="2BE06A0C" w14:textId="77777777" w:rsidR="00AC33E0" w:rsidRPr="009C69DC" w:rsidRDefault="00AC33E0" w:rsidP="00AC33E0">
      <w:pPr>
        <w:autoSpaceDE/>
        <w:autoSpaceDN/>
        <w:adjustRightInd/>
        <w:spacing w:after="0" w:line="259" w:lineRule="auto"/>
        <w:jc w:val="left"/>
        <w:rPr>
          <w:rFonts w:cs="Arial"/>
          <w:highlight w:val="yellow"/>
        </w:rPr>
      </w:pPr>
    </w:p>
    <w:p w14:paraId="5B512340" w14:textId="77777777" w:rsidR="00AC33E0" w:rsidRPr="0006470B" w:rsidRDefault="00AC33E0" w:rsidP="00AC33E0">
      <w:pPr>
        <w:spacing w:after="0"/>
        <w:rPr>
          <w:rFonts w:cs="Arial"/>
        </w:rPr>
      </w:pPr>
      <w:r w:rsidRPr="0045582C">
        <w:rPr>
          <w:rFonts w:cs="Arial"/>
        </w:rPr>
        <w:t xml:space="preserve">Business rates income is a significant portion of funding to local authorities. The baseline is an assessment of the business rate income required to meet service needs. For the county council, the amount anticipated to be received from the business rates collected in the area is less than its assessed need and therefore we receive a top up grant. </w:t>
      </w:r>
      <w:r>
        <w:rPr>
          <w:rFonts w:cs="Arial"/>
        </w:rPr>
        <w:t xml:space="preserve">We also build in a small </w:t>
      </w:r>
      <w:r w:rsidRPr="0045582C">
        <w:rPr>
          <w:rFonts w:cs="Arial"/>
        </w:rPr>
        <w:t>amount of growth</w:t>
      </w:r>
      <w:r>
        <w:rPr>
          <w:rFonts w:cs="Arial"/>
        </w:rPr>
        <w:t xml:space="preserve"> into the MTFS for </w:t>
      </w:r>
      <w:r w:rsidRPr="0045582C">
        <w:rPr>
          <w:rFonts w:cs="Arial"/>
        </w:rPr>
        <w:t>our local share at 0.5%.</w:t>
      </w:r>
    </w:p>
    <w:p w14:paraId="52C246BC" w14:textId="77777777" w:rsidR="00AC33E0" w:rsidRPr="00F40027" w:rsidRDefault="00AC33E0" w:rsidP="00AC33E0">
      <w:pPr>
        <w:tabs>
          <w:tab w:val="left" w:pos="567"/>
          <w:tab w:val="left" w:pos="1134"/>
        </w:tabs>
        <w:spacing w:after="0"/>
        <w:rPr>
          <w:rFonts w:cs="Arial"/>
        </w:rPr>
      </w:pPr>
    </w:p>
    <w:p w14:paraId="02207723" w14:textId="77777777" w:rsidR="00AC33E0" w:rsidRDefault="00AC33E0" w:rsidP="00AC33E0">
      <w:pPr>
        <w:tabs>
          <w:tab w:val="left" w:pos="567"/>
          <w:tab w:val="left" w:pos="1134"/>
        </w:tabs>
        <w:spacing w:after="0"/>
        <w:rPr>
          <w:rFonts w:cs="Arial"/>
        </w:rPr>
      </w:pPr>
      <w:r w:rsidRPr="00F40027">
        <w:rPr>
          <w:rFonts w:cs="Arial"/>
        </w:rPr>
        <w:t xml:space="preserve">As part of the </w:t>
      </w:r>
      <w:r>
        <w:rPr>
          <w:rFonts w:cs="Arial"/>
        </w:rPr>
        <w:t>final</w:t>
      </w:r>
      <w:r w:rsidRPr="00F40027">
        <w:rPr>
          <w:rFonts w:cs="Arial"/>
        </w:rPr>
        <w:t xml:space="preserve"> settlement the Secretary of State announced that the Lancashire bid to become a pilot of 75% business rates retention had been successful. </w:t>
      </w:r>
      <w:r>
        <w:rPr>
          <w:rFonts w:cs="Arial"/>
        </w:rPr>
        <w:t>At this stage in the financial year we have no further information in relation to the continuation of 75% pilots in 2020/21. As we would have expected further information to be released at this stage in the financial year if additional applications could be put forward we have assumed that the pilot continues into 2020/21 and beyond.</w:t>
      </w:r>
    </w:p>
    <w:p w14:paraId="32872F37" w14:textId="77777777" w:rsidR="00AC33E0" w:rsidRDefault="00AC33E0" w:rsidP="00AC33E0">
      <w:pPr>
        <w:tabs>
          <w:tab w:val="left" w:pos="567"/>
          <w:tab w:val="left" w:pos="1134"/>
        </w:tabs>
        <w:spacing w:after="0"/>
        <w:rPr>
          <w:rFonts w:cs="Arial"/>
        </w:rPr>
      </w:pPr>
    </w:p>
    <w:p w14:paraId="072B1EFD" w14:textId="286EE5E0" w:rsidR="00AC33E0" w:rsidRPr="00F40027" w:rsidRDefault="00AC33E0" w:rsidP="00AC33E0">
      <w:pPr>
        <w:tabs>
          <w:tab w:val="left" w:pos="567"/>
          <w:tab w:val="left" w:pos="1134"/>
        </w:tabs>
        <w:spacing w:after="0"/>
        <w:rPr>
          <w:rFonts w:cs="Arial"/>
          <w:lang w:val="en"/>
        </w:rPr>
      </w:pPr>
      <w:r>
        <w:rPr>
          <w:rFonts w:cs="Arial"/>
        </w:rPr>
        <w:lastRenderedPageBreak/>
        <w:t>The key assumption in relation to business rates and the continuation of the pilot centres around the baseline level of funding and the inclusion of the revenue support grant (RSG). When a council agrees to be a pilot it foregoes its RSG as this is added in to the baseline position of the business rates pilot. In previous assumptions in the MTFS we had assumed that RSG would be removed in line with indications from MHCLG. However, given the lack of information available at this stage in the financial year we have sought professional advice from experts in local government finance and they have advised that they would assume that the RSG rolls forward in 2020/21</w:t>
      </w:r>
      <w:r w:rsidR="00605559">
        <w:rPr>
          <w:rFonts w:cs="Arial"/>
        </w:rPr>
        <w:t xml:space="preserve"> only</w:t>
      </w:r>
      <w:r>
        <w:rPr>
          <w:rFonts w:cs="Arial"/>
        </w:rPr>
        <w:t xml:space="preserve"> to maintain the baseline level of funding. This is a significant amount, with the impact being c£35m, therefore if this advice is incorrect this will worsen the financial gap in 2020/21. </w:t>
      </w:r>
      <w:r w:rsidR="00605559">
        <w:rPr>
          <w:rFonts w:cs="Arial"/>
        </w:rPr>
        <w:t xml:space="preserve">For future years we have maintained our working assumption that </w:t>
      </w:r>
      <w:r>
        <w:rPr>
          <w:rFonts w:cs="Arial"/>
        </w:rPr>
        <w:t xml:space="preserve">RSG </w:t>
      </w:r>
      <w:r w:rsidR="00605559">
        <w:rPr>
          <w:rFonts w:cs="Arial"/>
        </w:rPr>
        <w:t>will cease.</w:t>
      </w:r>
      <w:r>
        <w:rPr>
          <w:rFonts w:cs="Arial"/>
        </w:rPr>
        <w:t xml:space="preserve">  </w:t>
      </w:r>
    </w:p>
    <w:p w14:paraId="1C507766" w14:textId="77777777" w:rsidR="00AC33E0" w:rsidRPr="009C69DC" w:rsidRDefault="00AC33E0" w:rsidP="00AC33E0">
      <w:pPr>
        <w:spacing w:after="0"/>
        <w:rPr>
          <w:rFonts w:cs="Arial"/>
          <w:highlight w:val="yellow"/>
        </w:rPr>
      </w:pPr>
    </w:p>
    <w:p w14:paraId="56015354" w14:textId="77777777" w:rsidR="00AC33E0" w:rsidRPr="0059095C" w:rsidRDefault="00AC33E0" w:rsidP="00AC33E0">
      <w:pPr>
        <w:spacing w:after="0"/>
        <w:rPr>
          <w:rFonts w:cs="Arial"/>
          <w:b/>
        </w:rPr>
      </w:pPr>
      <w:r w:rsidRPr="0059095C">
        <w:rPr>
          <w:rFonts w:cs="Arial"/>
          <w:b/>
        </w:rPr>
        <w:t>2.2 Capital Receipts</w:t>
      </w:r>
    </w:p>
    <w:p w14:paraId="0BE69E1A" w14:textId="77777777" w:rsidR="00AC33E0" w:rsidRPr="0059095C" w:rsidRDefault="00AC33E0" w:rsidP="00AC33E0">
      <w:pPr>
        <w:spacing w:after="0"/>
        <w:rPr>
          <w:rFonts w:cs="Arial"/>
          <w:b/>
        </w:rPr>
      </w:pPr>
    </w:p>
    <w:p w14:paraId="294C0418" w14:textId="77777777" w:rsidR="00AC33E0" w:rsidRPr="0059095C" w:rsidRDefault="00AC33E0" w:rsidP="00AC33E0">
      <w:pPr>
        <w:tabs>
          <w:tab w:val="left" w:pos="567"/>
          <w:tab w:val="left" w:pos="1134"/>
        </w:tabs>
        <w:spacing w:after="0"/>
        <w:rPr>
          <w:rFonts w:cs="Arial"/>
        </w:rPr>
      </w:pPr>
      <w:r w:rsidRPr="0059095C">
        <w:t>In April 2016 the government introduced the flexibility for capital receipts to be used to fund revenue expenditure that is designed to generate ongoing revenue savings or service improvements. This flexibility is currently available until 2021/22.</w:t>
      </w:r>
      <w:r w:rsidRPr="0059095C">
        <w:rPr>
          <w:rFonts w:cs="Arial"/>
        </w:rPr>
        <w:t xml:space="preserve"> </w:t>
      </w:r>
    </w:p>
    <w:p w14:paraId="6445CC7B" w14:textId="77777777" w:rsidR="00AC33E0" w:rsidRPr="0059095C" w:rsidRDefault="00AC33E0" w:rsidP="00AC33E0">
      <w:pPr>
        <w:tabs>
          <w:tab w:val="left" w:pos="567"/>
          <w:tab w:val="left" w:pos="1134"/>
        </w:tabs>
        <w:spacing w:after="0"/>
        <w:rPr>
          <w:rFonts w:cs="Arial"/>
        </w:rPr>
      </w:pPr>
    </w:p>
    <w:p w14:paraId="64C27AA0" w14:textId="2F6ED240" w:rsidR="00AC33E0" w:rsidRPr="0059095C" w:rsidRDefault="00AC33E0" w:rsidP="00AC33E0">
      <w:pPr>
        <w:tabs>
          <w:tab w:val="left" w:pos="567"/>
          <w:tab w:val="left" w:pos="1134"/>
        </w:tabs>
        <w:spacing w:after="0"/>
        <w:rPr>
          <w:rFonts w:cs="Arial"/>
        </w:rPr>
      </w:pPr>
      <w:r w:rsidRPr="00D477CF">
        <w:rPr>
          <w:rFonts w:cs="Arial"/>
        </w:rPr>
        <w:t>Capital receipts of £7m and £2.5m are estimated to be received over the next two</w:t>
      </w:r>
      <w:r w:rsidRPr="0059095C">
        <w:rPr>
          <w:rFonts w:cs="Arial"/>
        </w:rPr>
        <w:t xml:space="preserve"> years and are included within the MTFS.  As part of the service challenge process additional resources were identified to support the transformation of services and delivery of the savings. The assumption within the MTFS </w:t>
      </w:r>
      <w:r w:rsidR="005B099C">
        <w:rPr>
          <w:rFonts w:cs="Arial"/>
        </w:rPr>
        <w:t xml:space="preserve">is </w:t>
      </w:r>
      <w:r w:rsidRPr="0059095C">
        <w:rPr>
          <w:rFonts w:cs="Arial"/>
        </w:rPr>
        <w:t>that there will be sufficient capital receipts to meet these transformation costs over the next 2 years and therefore they will not be a draw on reserves or increase the funding gap.</w:t>
      </w:r>
    </w:p>
    <w:p w14:paraId="13E73434" w14:textId="77777777" w:rsidR="00AC33E0" w:rsidRPr="009C69DC" w:rsidRDefault="00AC33E0" w:rsidP="00AC33E0">
      <w:pPr>
        <w:spacing w:after="0"/>
        <w:rPr>
          <w:rFonts w:cs="Arial"/>
          <w:highlight w:val="yellow"/>
        </w:rPr>
      </w:pPr>
    </w:p>
    <w:p w14:paraId="27CA6DD5" w14:textId="77777777" w:rsidR="00AC33E0" w:rsidRPr="009C69DC" w:rsidRDefault="00AC33E0" w:rsidP="00AC33E0">
      <w:pPr>
        <w:spacing w:after="0"/>
        <w:rPr>
          <w:rFonts w:cs="Arial"/>
          <w:highlight w:val="yellow"/>
        </w:rPr>
      </w:pPr>
    </w:p>
    <w:p w14:paraId="1BE44E09" w14:textId="77777777" w:rsidR="00AC33E0" w:rsidRPr="009C69DC" w:rsidRDefault="00AC33E0" w:rsidP="00AC33E0">
      <w:pPr>
        <w:spacing w:after="0"/>
        <w:rPr>
          <w:rFonts w:cs="Arial"/>
          <w:highlight w:val="yellow"/>
        </w:rPr>
      </w:pPr>
    </w:p>
    <w:p w14:paraId="209277F4" w14:textId="77777777" w:rsidR="00AC33E0" w:rsidRPr="009C69DC" w:rsidRDefault="00AC33E0" w:rsidP="00AC33E0">
      <w:pPr>
        <w:spacing w:after="0"/>
        <w:rPr>
          <w:rFonts w:cs="Arial"/>
          <w:highlight w:val="yellow"/>
        </w:rPr>
      </w:pPr>
    </w:p>
    <w:p w14:paraId="2E108676" w14:textId="77777777" w:rsidR="00AC33E0" w:rsidRPr="009C69DC" w:rsidRDefault="00AC33E0" w:rsidP="00AC33E0">
      <w:pPr>
        <w:spacing w:after="0"/>
        <w:rPr>
          <w:rFonts w:cs="Arial"/>
          <w:highlight w:val="yellow"/>
        </w:rPr>
      </w:pPr>
    </w:p>
    <w:p w14:paraId="4B0326E5" w14:textId="77777777" w:rsidR="00AC33E0" w:rsidRPr="009C69DC" w:rsidRDefault="00AC33E0" w:rsidP="00AC33E0">
      <w:pPr>
        <w:spacing w:after="0"/>
        <w:rPr>
          <w:rFonts w:cs="Arial"/>
          <w:highlight w:val="yellow"/>
        </w:rPr>
      </w:pPr>
    </w:p>
    <w:p w14:paraId="52F80AB6" w14:textId="77777777" w:rsidR="00AC33E0" w:rsidRPr="009C69DC" w:rsidRDefault="00AC33E0" w:rsidP="00AC33E0">
      <w:pPr>
        <w:spacing w:after="0"/>
        <w:rPr>
          <w:rFonts w:cs="Arial"/>
          <w:highlight w:val="yellow"/>
        </w:rPr>
      </w:pPr>
    </w:p>
    <w:p w14:paraId="10BFDB0F" w14:textId="77777777" w:rsidR="00AC33E0" w:rsidRPr="009C69DC" w:rsidRDefault="00AC33E0" w:rsidP="00AC33E0">
      <w:pPr>
        <w:spacing w:after="0"/>
        <w:rPr>
          <w:rFonts w:cs="Arial"/>
          <w:highlight w:val="yellow"/>
        </w:rPr>
      </w:pPr>
    </w:p>
    <w:p w14:paraId="2B439A5A" w14:textId="77777777" w:rsidR="00AC33E0" w:rsidRPr="009C69DC" w:rsidRDefault="00AC33E0" w:rsidP="00AC33E0">
      <w:pPr>
        <w:spacing w:after="0"/>
        <w:rPr>
          <w:rFonts w:cs="Arial"/>
          <w:highlight w:val="yellow"/>
        </w:rPr>
      </w:pPr>
    </w:p>
    <w:p w14:paraId="5B85489C" w14:textId="77777777" w:rsidR="00AC33E0" w:rsidRPr="009C69DC" w:rsidRDefault="00AC33E0" w:rsidP="00AC33E0">
      <w:pPr>
        <w:spacing w:after="0"/>
        <w:rPr>
          <w:rFonts w:cs="Arial"/>
          <w:highlight w:val="yellow"/>
        </w:rPr>
      </w:pPr>
    </w:p>
    <w:p w14:paraId="233F6150" w14:textId="77777777" w:rsidR="00AC33E0" w:rsidRDefault="00AC33E0" w:rsidP="00AC33E0">
      <w:pPr>
        <w:spacing w:after="0"/>
        <w:rPr>
          <w:rFonts w:cs="Arial"/>
          <w:highlight w:val="yellow"/>
        </w:rPr>
      </w:pPr>
    </w:p>
    <w:p w14:paraId="51850F55" w14:textId="77777777" w:rsidR="00AC33E0" w:rsidRDefault="00AC33E0" w:rsidP="00AC33E0">
      <w:pPr>
        <w:spacing w:after="0"/>
        <w:rPr>
          <w:rFonts w:cs="Arial"/>
          <w:highlight w:val="yellow"/>
        </w:rPr>
      </w:pPr>
    </w:p>
    <w:p w14:paraId="78A9FE7A" w14:textId="77777777" w:rsidR="00AC33E0" w:rsidRDefault="00AC33E0" w:rsidP="00AC33E0">
      <w:pPr>
        <w:spacing w:after="0"/>
        <w:rPr>
          <w:rFonts w:cs="Arial"/>
          <w:highlight w:val="yellow"/>
        </w:rPr>
      </w:pPr>
    </w:p>
    <w:p w14:paraId="2C947CEA" w14:textId="77777777" w:rsidR="00AC33E0" w:rsidRDefault="00AC33E0" w:rsidP="00AC33E0">
      <w:pPr>
        <w:spacing w:after="0"/>
        <w:rPr>
          <w:rFonts w:cs="Arial"/>
          <w:highlight w:val="yellow"/>
        </w:rPr>
      </w:pPr>
    </w:p>
    <w:p w14:paraId="5788FABE" w14:textId="77777777" w:rsidR="00AC33E0" w:rsidRDefault="00AC33E0" w:rsidP="00AC33E0">
      <w:pPr>
        <w:spacing w:after="0"/>
        <w:rPr>
          <w:rFonts w:cs="Arial"/>
          <w:highlight w:val="yellow"/>
        </w:rPr>
      </w:pPr>
    </w:p>
    <w:p w14:paraId="3D082DC8" w14:textId="77777777" w:rsidR="00AC33E0" w:rsidRDefault="00AC33E0" w:rsidP="00AC33E0">
      <w:pPr>
        <w:spacing w:after="0"/>
        <w:rPr>
          <w:rFonts w:cs="Arial"/>
          <w:highlight w:val="yellow"/>
        </w:rPr>
      </w:pPr>
    </w:p>
    <w:p w14:paraId="7DD11490" w14:textId="77777777" w:rsidR="00AC33E0" w:rsidRDefault="00AC33E0" w:rsidP="00AC33E0">
      <w:pPr>
        <w:spacing w:after="0"/>
        <w:rPr>
          <w:rFonts w:cs="Arial"/>
          <w:highlight w:val="yellow"/>
        </w:rPr>
      </w:pPr>
    </w:p>
    <w:p w14:paraId="590EE062" w14:textId="77777777" w:rsidR="00AC33E0" w:rsidRDefault="00AC33E0" w:rsidP="00AC33E0">
      <w:pPr>
        <w:spacing w:after="0"/>
        <w:rPr>
          <w:rFonts w:cs="Arial"/>
          <w:highlight w:val="yellow"/>
        </w:rPr>
      </w:pPr>
    </w:p>
    <w:p w14:paraId="2AC2E40C" w14:textId="77777777" w:rsidR="00AC33E0" w:rsidRDefault="00AC33E0" w:rsidP="00AC33E0">
      <w:pPr>
        <w:spacing w:after="0"/>
        <w:rPr>
          <w:rFonts w:cs="Arial"/>
          <w:highlight w:val="yellow"/>
        </w:rPr>
      </w:pPr>
    </w:p>
    <w:p w14:paraId="11B36F0A" w14:textId="77777777" w:rsidR="00AC33E0" w:rsidRDefault="00AC33E0" w:rsidP="00AC33E0">
      <w:pPr>
        <w:spacing w:after="0"/>
        <w:rPr>
          <w:rFonts w:cs="Arial"/>
          <w:highlight w:val="yellow"/>
        </w:rPr>
      </w:pPr>
    </w:p>
    <w:p w14:paraId="2BB77B78" w14:textId="77777777" w:rsidR="00AC33E0" w:rsidRDefault="00AC33E0" w:rsidP="00AC33E0">
      <w:pPr>
        <w:spacing w:after="0"/>
        <w:rPr>
          <w:rFonts w:cs="Arial"/>
          <w:highlight w:val="yellow"/>
        </w:rPr>
      </w:pPr>
    </w:p>
    <w:p w14:paraId="39088435" w14:textId="77777777" w:rsidR="00AC33E0" w:rsidRDefault="00AC33E0" w:rsidP="00AC33E0">
      <w:pPr>
        <w:spacing w:after="0"/>
        <w:rPr>
          <w:rFonts w:cs="Arial"/>
          <w:highlight w:val="yellow"/>
        </w:rPr>
      </w:pPr>
    </w:p>
    <w:p w14:paraId="16C4C863" w14:textId="77777777" w:rsidR="00AC33E0" w:rsidRDefault="00AC33E0" w:rsidP="00AC33E0">
      <w:pPr>
        <w:spacing w:after="0"/>
        <w:rPr>
          <w:rFonts w:cs="Arial"/>
          <w:highlight w:val="yellow"/>
        </w:rPr>
      </w:pPr>
    </w:p>
    <w:p w14:paraId="16483D5B" w14:textId="77777777" w:rsidR="00AC33E0" w:rsidRDefault="00AC33E0" w:rsidP="00AC33E0">
      <w:pPr>
        <w:spacing w:after="0"/>
        <w:rPr>
          <w:rFonts w:cs="Arial"/>
          <w:highlight w:val="yellow"/>
        </w:rPr>
      </w:pPr>
    </w:p>
    <w:p w14:paraId="6C669928" w14:textId="77777777" w:rsidR="00AC33E0" w:rsidRPr="009C69DC" w:rsidRDefault="00AC33E0" w:rsidP="00AC33E0">
      <w:pPr>
        <w:spacing w:after="0"/>
        <w:rPr>
          <w:rFonts w:cs="Arial"/>
          <w:highlight w:val="yellow"/>
        </w:rPr>
      </w:pPr>
    </w:p>
    <w:p w14:paraId="370E9036" w14:textId="77777777" w:rsidR="00AC33E0" w:rsidRDefault="00AC33E0" w:rsidP="00AC33E0">
      <w:pPr>
        <w:spacing w:after="0"/>
        <w:rPr>
          <w:rFonts w:cs="Arial"/>
          <w:highlight w:val="yellow"/>
        </w:rPr>
      </w:pPr>
    </w:p>
    <w:p w14:paraId="44BF4B0C" w14:textId="77777777" w:rsidR="00AC33E0" w:rsidRPr="0059095C" w:rsidRDefault="00AC33E0" w:rsidP="00AC33E0">
      <w:pPr>
        <w:spacing w:after="0"/>
        <w:rPr>
          <w:rFonts w:cs="Arial"/>
          <w:b/>
        </w:rPr>
      </w:pPr>
      <w:r w:rsidRPr="0059095C">
        <w:rPr>
          <w:rFonts w:cs="Arial"/>
          <w:b/>
        </w:rPr>
        <w:lastRenderedPageBreak/>
        <w:t xml:space="preserve">3. Net Budget Requirement </w:t>
      </w:r>
    </w:p>
    <w:p w14:paraId="79AEE69E" w14:textId="77777777" w:rsidR="00AC33E0" w:rsidRPr="0059095C" w:rsidRDefault="00AC33E0" w:rsidP="00AC33E0">
      <w:pPr>
        <w:spacing w:after="0"/>
        <w:rPr>
          <w:rFonts w:cs="Arial"/>
          <w:b/>
        </w:rPr>
      </w:pPr>
    </w:p>
    <w:p w14:paraId="45D244BE" w14:textId="77777777" w:rsidR="00AC33E0" w:rsidRPr="0059095C" w:rsidRDefault="00AC33E0" w:rsidP="00AC33E0">
      <w:pPr>
        <w:tabs>
          <w:tab w:val="left" w:pos="567"/>
          <w:tab w:val="left" w:pos="1134"/>
        </w:tabs>
        <w:spacing w:after="0"/>
        <w:rPr>
          <w:rFonts w:cs="Arial"/>
        </w:rPr>
      </w:pPr>
      <w:r w:rsidRPr="0059095C">
        <w:rPr>
          <w:rFonts w:cs="Arial"/>
        </w:rPr>
        <w:t xml:space="preserve">The MTFS covers spending pressures including pay increases, contractual inflation, increased demand for services and the impact of previously agreed and new savings measures. </w:t>
      </w:r>
    </w:p>
    <w:p w14:paraId="2EA404EA" w14:textId="77777777" w:rsidR="00AC33E0" w:rsidRPr="003F5BDB" w:rsidRDefault="00AC33E0" w:rsidP="00AC33E0">
      <w:pPr>
        <w:spacing w:after="0"/>
        <w:rPr>
          <w:rFonts w:cs="Arial"/>
        </w:rPr>
      </w:pPr>
    </w:p>
    <w:p w14:paraId="655D6151" w14:textId="77777777" w:rsidR="00AC33E0" w:rsidRPr="003F5BDB" w:rsidRDefault="00AC33E0" w:rsidP="00AC33E0">
      <w:pPr>
        <w:spacing w:after="0"/>
        <w:rPr>
          <w:rFonts w:cs="Arial"/>
          <w:b/>
        </w:rPr>
      </w:pPr>
      <w:r w:rsidRPr="003F5BDB">
        <w:rPr>
          <w:rFonts w:cs="Arial"/>
          <w:b/>
        </w:rPr>
        <w:t>3.1 Pay and Pensions</w:t>
      </w:r>
    </w:p>
    <w:p w14:paraId="4A6B583C" w14:textId="77777777" w:rsidR="00AC33E0" w:rsidRPr="009C69DC" w:rsidRDefault="00AC33E0" w:rsidP="00AC33E0">
      <w:pPr>
        <w:spacing w:after="0"/>
        <w:rPr>
          <w:rFonts w:cs="Arial"/>
          <w:b/>
          <w:highlight w:val="yellow"/>
        </w:rPr>
      </w:pPr>
    </w:p>
    <w:p w14:paraId="1324E0A6" w14:textId="530BB44C" w:rsidR="00AC33E0" w:rsidRPr="009C69DC" w:rsidRDefault="00AC33E0" w:rsidP="00AC33E0">
      <w:pPr>
        <w:spacing w:after="0"/>
        <w:rPr>
          <w:rFonts w:cs="Arial"/>
          <w:highlight w:val="yellow"/>
        </w:rPr>
      </w:pPr>
      <w:r w:rsidRPr="003F5BDB">
        <w:rPr>
          <w:rFonts w:cs="Arial"/>
        </w:rPr>
        <w:t xml:space="preserve">In the previous MTFS an assumption of </w:t>
      </w:r>
      <w:r w:rsidR="008631EB">
        <w:rPr>
          <w:rFonts w:cs="Arial"/>
        </w:rPr>
        <w:t xml:space="preserve">a </w:t>
      </w:r>
      <w:r w:rsidRPr="003F5BDB">
        <w:rPr>
          <w:rFonts w:cs="Arial"/>
        </w:rPr>
        <w:t xml:space="preserve">1% </w:t>
      </w:r>
      <w:r w:rsidR="008631EB">
        <w:rPr>
          <w:rFonts w:cs="Arial"/>
        </w:rPr>
        <w:t xml:space="preserve">annual pay award was </w:t>
      </w:r>
      <w:r w:rsidRPr="003F5BDB">
        <w:rPr>
          <w:rFonts w:cs="Arial"/>
        </w:rPr>
        <w:t>included from 2020/21 onwards until further information was known. However, at this stage in the financial year and with information that negotiations are commencing at higher rates than 2% it has been determined prudent to increase to 2% to reflect previous year agreements. This will be reviewed quarterly and may require additional funding if a higher percentage increase is agreed.  A 1% pay award equates to an additional net annual cost of c£3</w:t>
      </w:r>
      <w:r>
        <w:rPr>
          <w:rFonts w:cs="Arial"/>
        </w:rPr>
        <w:t>.5</w:t>
      </w:r>
      <w:r w:rsidRPr="003F5BDB">
        <w:rPr>
          <w:rFonts w:cs="Arial"/>
        </w:rPr>
        <w:t xml:space="preserve">m. </w:t>
      </w:r>
      <w:r w:rsidR="008631EB">
        <w:rPr>
          <w:rFonts w:cs="Arial"/>
        </w:rPr>
        <w:t xml:space="preserve">The pension prepayment saving adjustment represents a reversal of the discount on employer pension contributions made upfront in 2017/18, at the point of the last revaluation, and covering contributions due up to and including 2019/20.  </w:t>
      </w:r>
    </w:p>
    <w:p w14:paraId="08CAF489" w14:textId="77777777" w:rsidR="00AC33E0" w:rsidRPr="009C69DC" w:rsidRDefault="00AC33E0" w:rsidP="00AC33E0">
      <w:pPr>
        <w:spacing w:after="0"/>
        <w:rPr>
          <w:rFonts w:cs="Arial"/>
          <w:highlight w:val="yellow"/>
        </w:rPr>
      </w:pPr>
    </w:p>
    <w:p w14:paraId="6D13D008" w14:textId="77777777" w:rsidR="00AC33E0" w:rsidRPr="0059095C" w:rsidRDefault="00AC33E0" w:rsidP="00AC33E0">
      <w:pPr>
        <w:spacing w:after="0"/>
        <w:rPr>
          <w:rFonts w:cs="Arial"/>
        </w:rPr>
      </w:pPr>
      <w:r w:rsidRPr="0059095C">
        <w:rPr>
          <w:rFonts w:cs="Arial"/>
        </w:rPr>
        <w:t>The table below presents the amounts built into the MTFS for pay and pensions:</w:t>
      </w:r>
    </w:p>
    <w:p w14:paraId="2C20BFD0" w14:textId="77777777" w:rsidR="00AC33E0" w:rsidRPr="009C69DC" w:rsidRDefault="00AC33E0" w:rsidP="00AC33E0">
      <w:pPr>
        <w:spacing w:after="0"/>
        <w:rPr>
          <w:rFonts w:cs="Arial"/>
          <w:highlight w:val="yellow"/>
        </w:rPr>
      </w:pPr>
    </w:p>
    <w:p w14:paraId="7F6B609B" w14:textId="77777777" w:rsidR="00AC33E0" w:rsidRPr="003F5BDB" w:rsidRDefault="00AC33E0" w:rsidP="00AC33E0">
      <w:pPr>
        <w:spacing w:after="0"/>
        <w:rPr>
          <w:rFonts w:cs="Arial"/>
          <w:b/>
          <w:i/>
          <w:u w:val="single"/>
        </w:rPr>
      </w:pPr>
      <w:r w:rsidRPr="003F5BDB">
        <w:rPr>
          <w:rFonts w:cs="Arial"/>
          <w:b/>
          <w:i/>
          <w:u w:val="single"/>
        </w:rPr>
        <w:t>Table 4</w:t>
      </w:r>
    </w:p>
    <w:p w14:paraId="5566168A" w14:textId="77777777" w:rsidR="00AC33E0" w:rsidRPr="009C69DC" w:rsidRDefault="00AC33E0" w:rsidP="00AC33E0">
      <w:pPr>
        <w:spacing w:after="0"/>
        <w:rPr>
          <w:rFonts w:cs="Arial"/>
          <w:highlight w:val="yellow"/>
        </w:rPr>
      </w:pPr>
    </w:p>
    <w:tbl>
      <w:tblPr>
        <w:tblStyle w:val="TableGrid8"/>
        <w:tblW w:w="9067" w:type="dxa"/>
        <w:tblLook w:val="04A0" w:firstRow="1" w:lastRow="0" w:firstColumn="1" w:lastColumn="0" w:noHBand="0" w:noVBand="1"/>
      </w:tblPr>
      <w:tblGrid>
        <w:gridCol w:w="3823"/>
        <w:gridCol w:w="1311"/>
        <w:gridCol w:w="1311"/>
        <w:gridCol w:w="1311"/>
        <w:gridCol w:w="1311"/>
      </w:tblGrid>
      <w:tr w:rsidR="0093099B" w14:paraId="622D868F" w14:textId="77777777" w:rsidTr="00AC33E0">
        <w:trPr>
          <w:trHeight w:val="689"/>
        </w:trPr>
        <w:tc>
          <w:tcPr>
            <w:tcW w:w="3823" w:type="dxa"/>
          </w:tcPr>
          <w:p w14:paraId="487B8C44" w14:textId="77777777" w:rsidR="00AC33E0" w:rsidRPr="009C69DC" w:rsidRDefault="00AC33E0" w:rsidP="00AC33E0">
            <w:pPr>
              <w:tabs>
                <w:tab w:val="left" w:pos="567"/>
                <w:tab w:val="left" w:pos="1134"/>
              </w:tabs>
              <w:spacing w:after="0"/>
              <w:rPr>
                <w:rFonts w:cs="Arial"/>
                <w:highlight w:val="yellow"/>
              </w:rPr>
            </w:pPr>
          </w:p>
        </w:tc>
        <w:tc>
          <w:tcPr>
            <w:tcW w:w="1311" w:type="dxa"/>
            <w:vAlign w:val="center"/>
          </w:tcPr>
          <w:p w14:paraId="46C0E844" w14:textId="77777777" w:rsidR="00AC33E0" w:rsidRPr="009C69DC" w:rsidRDefault="00AC33E0" w:rsidP="00AC33E0">
            <w:pPr>
              <w:tabs>
                <w:tab w:val="left" w:pos="567"/>
                <w:tab w:val="left" w:pos="1134"/>
              </w:tabs>
              <w:spacing w:after="0"/>
              <w:jc w:val="center"/>
              <w:rPr>
                <w:rFonts w:cs="Arial"/>
                <w:b/>
              </w:rPr>
            </w:pPr>
            <w:r w:rsidRPr="009C69DC">
              <w:rPr>
                <w:rFonts w:cs="Arial"/>
                <w:b/>
              </w:rPr>
              <w:t>2020/21</w:t>
            </w:r>
          </w:p>
          <w:p w14:paraId="719B5131" w14:textId="77777777" w:rsidR="00AC33E0" w:rsidRPr="009C69DC" w:rsidRDefault="00AC33E0" w:rsidP="00AC33E0">
            <w:pPr>
              <w:tabs>
                <w:tab w:val="left" w:pos="567"/>
                <w:tab w:val="left" w:pos="1134"/>
              </w:tabs>
              <w:spacing w:after="0"/>
              <w:jc w:val="center"/>
              <w:rPr>
                <w:rFonts w:cs="Arial"/>
                <w:b/>
              </w:rPr>
            </w:pPr>
            <w:r w:rsidRPr="009C69DC">
              <w:rPr>
                <w:rFonts w:cs="Arial"/>
                <w:b/>
              </w:rPr>
              <w:t>£m</w:t>
            </w:r>
          </w:p>
        </w:tc>
        <w:tc>
          <w:tcPr>
            <w:tcW w:w="1311" w:type="dxa"/>
            <w:vAlign w:val="center"/>
          </w:tcPr>
          <w:p w14:paraId="6E86B27E" w14:textId="77777777" w:rsidR="00AC33E0" w:rsidRPr="009C69DC" w:rsidRDefault="00AC33E0" w:rsidP="00AC33E0">
            <w:pPr>
              <w:tabs>
                <w:tab w:val="left" w:pos="567"/>
                <w:tab w:val="left" w:pos="1134"/>
              </w:tabs>
              <w:spacing w:after="0"/>
              <w:jc w:val="center"/>
              <w:rPr>
                <w:rFonts w:cs="Arial"/>
                <w:b/>
              </w:rPr>
            </w:pPr>
            <w:r w:rsidRPr="009C69DC">
              <w:rPr>
                <w:rFonts w:cs="Arial"/>
                <w:b/>
              </w:rPr>
              <w:t>2021/22</w:t>
            </w:r>
          </w:p>
          <w:p w14:paraId="407A88FB" w14:textId="77777777" w:rsidR="00AC33E0" w:rsidRPr="009C69DC" w:rsidRDefault="00AC33E0" w:rsidP="00AC33E0">
            <w:pPr>
              <w:tabs>
                <w:tab w:val="left" w:pos="567"/>
                <w:tab w:val="left" w:pos="1134"/>
              </w:tabs>
              <w:spacing w:after="0"/>
              <w:jc w:val="center"/>
              <w:rPr>
                <w:rFonts w:cs="Arial"/>
                <w:b/>
              </w:rPr>
            </w:pPr>
            <w:r w:rsidRPr="009C69DC">
              <w:rPr>
                <w:rFonts w:cs="Arial"/>
                <w:b/>
              </w:rPr>
              <w:t>£m</w:t>
            </w:r>
          </w:p>
        </w:tc>
        <w:tc>
          <w:tcPr>
            <w:tcW w:w="1311" w:type="dxa"/>
            <w:vAlign w:val="center"/>
          </w:tcPr>
          <w:p w14:paraId="37E5CCBE" w14:textId="77777777" w:rsidR="00AC33E0" w:rsidRPr="009C69DC" w:rsidRDefault="00AC33E0" w:rsidP="00AC33E0">
            <w:pPr>
              <w:tabs>
                <w:tab w:val="left" w:pos="567"/>
                <w:tab w:val="left" w:pos="1134"/>
              </w:tabs>
              <w:spacing w:after="0"/>
              <w:jc w:val="center"/>
              <w:rPr>
                <w:rFonts w:cs="Arial"/>
                <w:b/>
              </w:rPr>
            </w:pPr>
            <w:r w:rsidRPr="009C69DC">
              <w:rPr>
                <w:rFonts w:cs="Arial"/>
                <w:b/>
              </w:rPr>
              <w:t>2022/23</w:t>
            </w:r>
          </w:p>
          <w:p w14:paraId="05EC5A69" w14:textId="77777777" w:rsidR="00AC33E0" w:rsidRPr="009C69DC" w:rsidRDefault="00AC33E0" w:rsidP="00AC33E0">
            <w:pPr>
              <w:tabs>
                <w:tab w:val="left" w:pos="567"/>
                <w:tab w:val="left" w:pos="1134"/>
              </w:tabs>
              <w:spacing w:after="0"/>
              <w:jc w:val="center"/>
              <w:rPr>
                <w:rFonts w:cs="Arial"/>
                <w:b/>
              </w:rPr>
            </w:pPr>
            <w:r w:rsidRPr="009C69DC">
              <w:rPr>
                <w:rFonts w:cs="Arial"/>
                <w:b/>
              </w:rPr>
              <w:t>£m</w:t>
            </w:r>
          </w:p>
        </w:tc>
        <w:tc>
          <w:tcPr>
            <w:tcW w:w="1311" w:type="dxa"/>
            <w:vAlign w:val="center"/>
          </w:tcPr>
          <w:p w14:paraId="57552943" w14:textId="77777777" w:rsidR="00AC33E0" w:rsidRPr="009C69DC" w:rsidRDefault="00AC33E0" w:rsidP="00AC33E0">
            <w:pPr>
              <w:tabs>
                <w:tab w:val="left" w:pos="567"/>
                <w:tab w:val="left" w:pos="1134"/>
              </w:tabs>
              <w:spacing w:after="0"/>
              <w:jc w:val="center"/>
              <w:rPr>
                <w:rFonts w:cs="Arial"/>
                <w:b/>
              </w:rPr>
            </w:pPr>
            <w:r w:rsidRPr="009C69DC">
              <w:rPr>
                <w:rFonts w:cs="Arial"/>
                <w:b/>
              </w:rPr>
              <w:t>Total</w:t>
            </w:r>
          </w:p>
          <w:p w14:paraId="791CD53D" w14:textId="77777777" w:rsidR="00AC33E0" w:rsidRPr="009C69DC" w:rsidRDefault="00AC33E0" w:rsidP="00AC33E0">
            <w:pPr>
              <w:tabs>
                <w:tab w:val="left" w:pos="567"/>
                <w:tab w:val="left" w:pos="1134"/>
              </w:tabs>
              <w:spacing w:after="0"/>
              <w:jc w:val="center"/>
              <w:rPr>
                <w:rFonts w:cs="Arial"/>
                <w:b/>
              </w:rPr>
            </w:pPr>
            <w:r w:rsidRPr="009C69DC">
              <w:rPr>
                <w:rFonts w:cs="Arial"/>
                <w:b/>
              </w:rPr>
              <w:t>£m</w:t>
            </w:r>
          </w:p>
        </w:tc>
      </w:tr>
      <w:tr w:rsidR="0093099B" w14:paraId="1DA3E3B5" w14:textId="77777777" w:rsidTr="00AC33E0">
        <w:trPr>
          <w:trHeight w:val="404"/>
        </w:trPr>
        <w:tc>
          <w:tcPr>
            <w:tcW w:w="3823" w:type="dxa"/>
            <w:vAlign w:val="center"/>
          </w:tcPr>
          <w:p w14:paraId="07901077" w14:textId="77777777" w:rsidR="00AC33E0" w:rsidRPr="009C69DC" w:rsidRDefault="00AC33E0" w:rsidP="00AC33E0">
            <w:pPr>
              <w:tabs>
                <w:tab w:val="left" w:pos="567"/>
                <w:tab w:val="left" w:pos="1134"/>
              </w:tabs>
              <w:spacing w:after="0"/>
              <w:jc w:val="left"/>
              <w:rPr>
                <w:rFonts w:cs="Arial"/>
              </w:rPr>
            </w:pPr>
            <w:r w:rsidRPr="009C69DC">
              <w:rPr>
                <w:rFonts w:cs="Arial"/>
              </w:rPr>
              <w:t>Employee Costs</w:t>
            </w:r>
          </w:p>
        </w:tc>
        <w:tc>
          <w:tcPr>
            <w:tcW w:w="1311" w:type="dxa"/>
            <w:vAlign w:val="center"/>
          </w:tcPr>
          <w:p w14:paraId="3CD46A04" w14:textId="77777777" w:rsidR="00AC33E0" w:rsidRPr="003F5BDB" w:rsidRDefault="00AC33E0" w:rsidP="00AC33E0">
            <w:pPr>
              <w:tabs>
                <w:tab w:val="left" w:pos="567"/>
                <w:tab w:val="left" w:pos="1134"/>
              </w:tabs>
              <w:spacing w:after="0"/>
              <w:jc w:val="right"/>
              <w:rPr>
                <w:rFonts w:cs="Arial"/>
              </w:rPr>
            </w:pPr>
            <w:r>
              <w:rPr>
                <w:rFonts w:cs="Arial"/>
              </w:rPr>
              <w:t>8.952</w:t>
            </w:r>
          </w:p>
        </w:tc>
        <w:tc>
          <w:tcPr>
            <w:tcW w:w="1311" w:type="dxa"/>
            <w:vAlign w:val="center"/>
          </w:tcPr>
          <w:p w14:paraId="3BF3EB8D" w14:textId="77777777" w:rsidR="00AC33E0" w:rsidRPr="003F5BDB" w:rsidRDefault="00AC33E0" w:rsidP="00AC33E0">
            <w:pPr>
              <w:tabs>
                <w:tab w:val="left" w:pos="567"/>
                <w:tab w:val="left" w:pos="1134"/>
              </w:tabs>
              <w:spacing w:after="0"/>
              <w:jc w:val="right"/>
              <w:rPr>
                <w:rFonts w:cs="Arial"/>
              </w:rPr>
            </w:pPr>
            <w:r>
              <w:rPr>
                <w:rFonts w:cs="Arial"/>
              </w:rPr>
              <w:t>7.491</w:t>
            </w:r>
          </w:p>
        </w:tc>
        <w:tc>
          <w:tcPr>
            <w:tcW w:w="1311" w:type="dxa"/>
            <w:vAlign w:val="center"/>
          </w:tcPr>
          <w:p w14:paraId="17A060BC" w14:textId="77777777" w:rsidR="00AC33E0" w:rsidRPr="003F5BDB" w:rsidRDefault="00AC33E0" w:rsidP="00AC33E0">
            <w:pPr>
              <w:tabs>
                <w:tab w:val="left" w:pos="567"/>
                <w:tab w:val="left" w:pos="1134"/>
              </w:tabs>
              <w:spacing w:after="0"/>
              <w:jc w:val="right"/>
              <w:rPr>
                <w:rFonts w:cs="Arial"/>
              </w:rPr>
            </w:pPr>
            <w:r>
              <w:rPr>
                <w:rFonts w:cs="Arial"/>
              </w:rPr>
              <w:t>7.570</w:t>
            </w:r>
          </w:p>
        </w:tc>
        <w:tc>
          <w:tcPr>
            <w:tcW w:w="1311" w:type="dxa"/>
            <w:vAlign w:val="center"/>
          </w:tcPr>
          <w:p w14:paraId="7EABBDF9" w14:textId="77777777" w:rsidR="00AC33E0" w:rsidRPr="003F5BDB" w:rsidRDefault="00AC33E0" w:rsidP="00AC33E0">
            <w:pPr>
              <w:tabs>
                <w:tab w:val="left" w:pos="567"/>
                <w:tab w:val="left" w:pos="1134"/>
              </w:tabs>
              <w:spacing w:after="0"/>
              <w:jc w:val="right"/>
              <w:rPr>
                <w:rFonts w:cs="Arial"/>
                <w:b/>
              </w:rPr>
            </w:pPr>
            <w:r>
              <w:rPr>
                <w:rFonts w:cs="Arial"/>
                <w:b/>
              </w:rPr>
              <w:t>24.013</w:t>
            </w:r>
          </w:p>
        </w:tc>
      </w:tr>
      <w:tr w:rsidR="0093099B" w14:paraId="5E89524E" w14:textId="77777777" w:rsidTr="00AC33E0">
        <w:trPr>
          <w:trHeight w:val="404"/>
        </w:trPr>
        <w:tc>
          <w:tcPr>
            <w:tcW w:w="3823" w:type="dxa"/>
            <w:vAlign w:val="center"/>
          </w:tcPr>
          <w:p w14:paraId="3363601C" w14:textId="77777777" w:rsidR="00AC33E0" w:rsidRPr="009C69DC" w:rsidRDefault="00AC33E0" w:rsidP="00AC33E0">
            <w:pPr>
              <w:tabs>
                <w:tab w:val="left" w:pos="567"/>
                <w:tab w:val="left" w:pos="1134"/>
              </w:tabs>
              <w:spacing w:after="0"/>
              <w:jc w:val="left"/>
              <w:rPr>
                <w:rFonts w:cs="Arial"/>
              </w:rPr>
            </w:pPr>
            <w:r w:rsidRPr="009C69DC">
              <w:rPr>
                <w:rFonts w:cs="Arial"/>
              </w:rPr>
              <w:t>Pensions Costs</w:t>
            </w:r>
          </w:p>
        </w:tc>
        <w:tc>
          <w:tcPr>
            <w:tcW w:w="1311" w:type="dxa"/>
            <w:vAlign w:val="center"/>
          </w:tcPr>
          <w:p w14:paraId="066AE559" w14:textId="77777777" w:rsidR="00AC33E0" w:rsidRPr="003F5BDB" w:rsidRDefault="00AC33E0" w:rsidP="00AC33E0">
            <w:pPr>
              <w:tabs>
                <w:tab w:val="left" w:pos="567"/>
                <w:tab w:val="left" w:pos="1134"/>
              </w:tabs>
              <w:spacing w:after="0"/>
              <w:jc w:val="right"/>
              <w:rPr>
                <w:rFonts w:cs="Arial"/>
              </w:rPr>
            </w:pPr>
            <w:r>
              <w:rPr>
                <w:rFonts w:cs="Arial"/>
              </w:rPr>
              <w:t>-6.026</w:t>
            </w:r>
          </w:p>
        </w:tc>
        <w:tc>
          <w:tcPr>
            <w:tcW w:w="1311" w:type="dxa"/>
            <w:vAlign w:val="center"/>
          </w:tcPr>
          <w:p w14:paraId="4DED2C45" w14:textId="77777777" w:rsidR="00AC33E0" w:rsidRPr="003F5BDB" w:rsidRDefault="00AC33E0" w:rsidP="00AC33E0">
            <w:pPr>
              <w:tabs>
                <w:tab w:val="left" w:pos="567"/>
                <w:tab w:val="left" w:pos="1134"/>
              </w:tabs>
              <w:spacing w:after="0"/>
              <w:jc w:val="right"/>
              <w:rPr>
                <w:rFonts w:cs="Arial"/>
              </w:rPr>
            </w:pPr>
            <w:r>
              <w:rPr>
                <w:rFonts w:cs="Arial"/>
              </w:rPr>
              <w:t>0.374</w:t>
            </w:r>
          </w:p>
        </w:tc>
        <w:tc>
          <w:tcPr>
            <w:tcW w:w="1311" w:type="dxa"/>
            <w:vAlign w:val="center"/>
          </w:tcPr>
          <w:p w14:paraId="1EC841F6" w14:textId="77777777" w:rsidR="00AC33E0" w:rsidRPr="003F5BDB" w:rsidRDefault="00AC33E0" w:rsidP="00AC33E0">
            <w:pPr>
              <w:tabs>
                <w:tab w:val="left" w:pos="567"/>
                <w:tab w:val="left" w:pos="1134"/>
              </w:tabs>
              <w:spacing w:after="0"/>
              <w:jc w:val="right"/>
              <w:rPr>
                <w:rFonts w:cs="Arial"/>
              </w:rPr>
            </w:pPr>
            <w:r w:rsidRPr="003F5BDB">
              <w:rPr>
                <w:rFonts w:cs="Arial"/>
              </w:rPr>
              <w:t>0.374</w:t>
            </w:r>
          </w:p>
        </w:tc>
        <w:tc>
          <w:tcPr>
            <w:tcW w:w="1311" w:type="dxa"/>
            <w:vAlign w:val="center"/>
          </w:tcPr>
          <w:p w14:paraId="03974D9E" w14:textId="77777777" w:rsidR="00AC33E0" w:rsidRPr="003F5BDB" w:rsidRDefault="00AC33E0" w:rsidP="00AC33E0">
            <w:pPr>
              <w:tabs>
                <w:tab w:val="left" w:pos="567"/>
                <w:tab w:val="left" w:pos="1134"/>
              </w:tabs>
              <w:spacing w:after="0"/>
              <w:jc w:val="right"/>
              <w:rPr>
                <w:rFonts w:cs="Arial"/>
                <w:b/>
              </w:rPr>
            </w:pPr>
            <w:r>
              <w:rPr>
                <w:rFonts w:cs="Arial"/>
                <w:b/>
              </w:rPr>
              <w:t>-5.278</w:t>
            </w:r>
          </w:p>
        </w:tc>
      </w:tr>
      <w:tr w:rsidR="0093099B" w14:paraId="2272FF86" w14:textId="77777777" w:rsidTr="00AC33E0">
        <w:trPr>
          <w:trHeight w:val="404"/>
        </w:trPr>
        <w:tc>
          <w:tcPr>
            <w:tcW w:w="3823" w:type="dxa"/>
            <w:vAlign w:val="center"/>
          </w:tcPr>
          <w:p w14:paraId="5527651C" w14:textId="77777777" w:rsidR="00AC33E0" w:rsidRPr="009C69DC" w:rsidRDefault="00AC33E0" w:rsidP="00AC33E0">
            <w:pPr>
              <w:tabs>
                <w:tab w:val="left" w:pos="567"/>
                <w:tab w:val="left" w:pos="1134"/>
              </w:tabs>
              <w:spacing w:after="0"/>
              <w:jc w:val="left"/>
              <w:rPr>
                <w:rFonts w:cs="Arial"/>
              </w:rPr>
            </w:pPr>
            <w:r w:rsidRPr="009C69DC">
              <w:rPr>
                <w:rFonts w:cs="Arial"/>
              </w:rPr>
              <w:t>Pension Prepayment Saving</w:t>
            </w:r>
          </w:p>
        </w:tc>
        <w:tc>
          <w:tcPr>
            <w:tcW w:w="1311" w:type="dxa"/>
            <w:vAlign w:val="center"/>
          </w:tcPr>
          <w:p w14:paraId="635EB6CA" w14:textId="77777777" w:rsidR="00AC33E0" w:rsidRPr="003F5BDB" w:rsidRDefault="00AC33E0" w:rsidP="00AC33E0">
            <w:pPr>
              <w:tabs>
                <w:tab w:val="left" w:pos="567"/>
                <w:tab w:val="left" w:pos="1134"/>
              </w:tabs>
              <w:spacing w:after="0"/>
              <w:jc w:val="right"/>
              <w:rPr>
                <w:rFonts w:cs="Arial"/>
              </w:rPr>
            </w:pPr>
            <w:r w:rsidRPr="003F5BDB">
              <w:rPr>
                <w:rFonts w:cs="Arial"/>
              </w:rPr>
              <w:t>2.299</w:t>
            </w:r>
          </w:p>
        </w:tc>
        <w:tc>
          <w:tcPr>
            <w:tcW w:w="1311" w:type="dxa"/>
            <w:vAlign w:val="center"/>
          </w:tcPr>
          <w:p w14:paraId="4397587F" w14:textId="77777777" w:rsidR="00AC33E0" w:rsidRPr="003F5BDB" w:rsidRDefault="00AC33E0" w:rsidP="00AC33E0">
            <w:pPr>
              <w:tabs>
                <w:tab w:val="left" w:pos="567"/>
                <w:tab w:val="left" w:pos="1134"/>
              </w:tabs>
              <w:spacing w:after="0"/>
              <w:jc w:val="right"/>
              <w:rPr>
                <w:rFonts w:cs="Arial"/>
              </w:rPr>
            </w:pPr>
            <w:r w:rsidRPr="003F5BDB">
              <w:rPr>
                <w:rFonts w:cs="Arial"/>
              </w:rPr>
              <w:t>0.000</w:t>
            </w:r>
          </w:p>
        </w:tc>
        <w:tc>
          <w:tcPr>
            <w:tcW w:w="1311" w:type="dxa"/>
            <w:vAlign w:val="center"/>
          </w:tcPr>
          <w:p w14:paraId="202AD64E" w14:textId="77777777" w:rsidR="00AC33E0" w:rsidRPr="003F5BDB" w:rsidRDefault="00AC33E0" w:rsidP="00AC33E0">
            <w:pPr>
              <w:tabs>
                <w:tab w:val="left" w:pos="567"/>
                <w:tab w:val="left" w:pos="1134"/>
              </w:tabs>
              <w:spacing w:after="0"/>
              <w:jc w:val="right"/>
              <w:rPr>
                <w:rFonts w:cs="Arial"/>
              </w:rPr>
            </w:pPr>
            <w:r w:rsidRPr="003F5BDB">
              <w:rPr>
                <w:rFonts w:cs="Arial"/>
              </w:rPr>
              <w:t>0.000</w:t>
            </w:r>
          </w:p>
        </w:tc>
        <w:tc>
          <w:tcPr>
            <w:tcW w:w="1311" w:type="dxa"/>
            <w:vAlign w:val="center"/>
          </w:tcPr>
          <w:p w14:paraId="266C43D5" w14:textId="77777777" w:rsidR="00AC33E0" w:rsidRPr="003F5BDB" w:rsidRDefault="00AC33E0" w:rsidP="00AC33E0">
            <w:pPr>
              <w:tabs>
                <w:tab w:val="left" w:pos="567"/>
                <w:tab w:val="left" w:pos="1134"/>
              </w:tabs>
              <w:spacing w:after="0"/>
              <w:jc w:val="right"/>
              <w:rPr>
                <w:rFonts w:cs="Arial"/>
                <w:b/>
              </w:rPr>
            </w:pPr>
            <w:r>
              <w:rPr>
                <w:rFonts w:cs="Arial"/>
                <w:b/>
              </w:rPr>
              <w:t>2.299</w:t>
            </w:r>
          </w:p>
        </w:tc>
      </w:tr>
      <w:tr w:rsidR="0093099B" w14:paraId="350ACE8F" w14:textId="77777777" w:rsidTr="00AC33E0">
        <w:trPr>
          <w:trHeight w:val="404"/>
        </w:trPr>
        <w:tc>
          <w:tcPr>
            <w:tcW w:w="3823" w:type="dxa"/>
            <w:vAlign w:val="center"/>
          </w:tcPr>
          <w:p w14:paraId="30C1738C" w14:textId="77777777" w:rsidR="00AC33E0" w:rsidRPr="009C69DC" w:rsidRDefault="00AC33E0" w:rsidP="00AC33E0">
            <w:pPr>
              <w:tabs>
                <w:tab w:val="left" w:pos="567"/>
                <w:tab w:val="left" w:pos="1134"/>
              </w:tabs>
              <w:spacing w:after="0"/>
              <w:jc w:val="left"/>
              <w:rPr>
                <w:rFonts w:cs="Arial"/>
              </w:rPr>
            </w:pPr>
            <w:r w:rsidRPr="009C69DC">
              <w:rPr>
                <w:rFonts w:cs="Arial"/>
              </w:rPr>
              <w:t>Other pay related costs</w:t>
            </w:r>
          </w:p>
        </w:tc>
        <w:tc>
          <w:tcPr>
            <w:tcW w:w="1311" w:type="dxa"/>
            <w:vAlign w:val="center"/>
          </w:tcPr>
          <w:p w14:paraId="087AA0B9" w14:textId="77777777" w:rsidR="00AC33E0" w:rsidRPr="003F5BDB" w:rsidRDefault="00AC33E0" w:rsidP="00AC33E0">
            <w:pPr>
              <w:tabs>
                <w:tab w:val="left" w:pos="567"/>
                <w:tab w:val="left" w:pos="1134"/>
              </w:tabs>
              <w:spacing w:after="0"/>
              <w:jc w:val="right"/>
              <w:rPr>
                <w:rFonts w:cs="Arial"/>
              </w:rPr>
            </w:pPr>
            <w:r w:rsidRPr="003F5BDB">
              <w:rPr>
                <w:rFonts w:cs="Arial"/>
              </w:rPr>
              <w:t>0.029</w:t>
            </w:r>
          </w:p>
        </w:tc>
        <w:tc>
          <w:tcPr>
            <w:tcW w:w="1311" w:type="dxa"/>
            <w:vAlign w:val="center"/>
          </w:tcPr>
          <w:p w14:paraId="63748B08" w14:textId="77777777" w:rsidR="00AC33E0" w:rsidRPr="003F5BDB" w:rsidRDefault="00AC33E0" w:rsidP="00AC33E0">
            <w:pPr>
              <w:tabs>
                <w:tab w:val="left" w:pos="567"/>
                <w:tab w:val="left" w:pos="1134"/>
              </w:tabs>
              <w:spacing w:after="0"/>
              <w:jc w:val="right"/>
              <w:rPr>
                <w:rFonts w:cs="Arial"/>
              </w:rPr>
            </w:pPr>
            <w:r w:rsidRPr="003F5BDB">
              <w:rPr>
                <w:rFonts w:cs="Arial"/>
              </w:rPr>
              <w:t>0.028</w:t>
            </w:r>
          </w:p>
        </w:tc>
        <w:tc>
          <w:tcPr>
            <w:tcW w:w="1311" w:type="dxa"/>
            <w:vAlign w:val="center"/>
          </w:tcPr>
          <w:p w14:paraId="0906AA18" w14:textId="77777777" w:rsidR="00AC33E0" w:rsidRPr="003F5BDB" w:rsidRDefault="00AC33E0" w:rsidP="00AC33E0">
            <w:pPr>
              <w:tabs>
                <w:tab w:val="left" w:pos="567"/>
                <w:tab w:val="left" w:pos="1134"/>
              </w:tabs>
              <w:spacing w:after="0"/>
              <w:jc w:val="right"/>
              <w:rPr>
                <w:rFonts w:cs="Arial"/>
              </w:rPr>
            </w:pPr>
            <w:r>
              <w:rPr>
                <w:rFonts w:cs="Arial"/>
              </w:rPr>
              <w:t>0.028</w:t>
            </w:r>
          </w:p>
        </w:tc>
        <w:tc>
          <w:tcPr>
            <w:tcW w:w="1311" w:type="dxa"/>
            <w:vAlign w:val="center"/>
          </w:tcPr>
          <w:p w14:paraId="5FB81BAE" w14:textId="77777777" w:rsidR="00AC33E0" w:rsidRPr="003F5BDB" w:rsidRDefault="00AC33E0" w:rsidP="00AC33E0">
            <w:pPr>
              <w:tabs>
                <w:tab w:val="left" w:pos="567"/>
                <w:tab w:val="left" w:pos="1134"/>
              </w:tabs>
              <w:spacing w:after="0"/>
              <w:jc w:val="right"/>
              <w:rPr>
                <w:rFonts w:cs="Arial"/>
                <w:b/>
              </w:rPr>
            </w:pPr>
            <w:r>
              <w:rPr>
                <w:rFonts w:cs="Arial"/>
                <w:b/>
              </w:rPr>
              <w:t>0.085</w:t>
            </w:r>
          </w:p>
        </w:tc>
      </w:tr>
      <w:tr w:rsidR="0093099B" w14:paraId="62705BAA" w14:textId="77777777" w:rsidTr="00AC33E0">
        <w:trPr>
          <w:trHeight w:val="689"/>
        </w:trPr>
        <w:tc>
          <w:tcPr>
            <w:tcW w:w="3823" w:type="dxa"/>
            <w:vAlign w:val="center"/>
          </w:tcPr>
          <w:p w14:paraId="7AA31073" w14:textId="77777777" w:rsidR="00AC33E0" w:rsidRPr="009C69DC" w:rsidRDefault="00AC33E0" w:rsidP="00AC33E0">
            <w:pPr>
              <w:tabs>
                <w:tab w:val="left" w:pos="567"/>
                <w:tab w:val="left" w:pos="1134"/>
              </w:tabs>
              <w:spacing w:after="0"/>
              <w:jc w:val="left"/>
              <w:rPr>
                <w:rFonts w:cs="Arial"/>
                <w:b/>
              </w:rPr>
            </w:pPr>
            <w:r w:rsidRPr="009C69DC">
              <w:rPr>
                <w:rFonts w:cs="Arial"/>
                <w:b/>
              </w:rPr>
              <w:t>Revised Pay and Pension requirements</w:t>
            </w:r>
          </w:p>
        </w:tc>
        <w:tc>
          <w:tcPr>
            <w:tcW w:w="1311" w:type="dxa"/>
            <w:vAlign w:val="center"/>
          </w:tcPr>
          <w:p w14:paraId="5CBAF713" w14:textId="77777777" w:rsidR="00AC33E0" w:rsidRPr="00E13DB7" w:rsidRDefault="00AC33E0" w:rsidP="00AC33E0">
            <w:pPr>
              <w:tabs>
                <w:tab w:val="left" w:pos="567"/>
                <w:tab w:val="left" w:pos="1134"/>
              </w:tabs>
              <w:spacing w:after="0"/>
              <w:jc w:val="right"/>
              <w:rPr>
                <w:rFonts w:cs="Arial"/>
                <w:b/>
              </w:rPr>
            </w:pPr>
            <w:r>
              <w:rPr>
                <w:rFonts w:cs="Arial"/>
                <w:b/>
              </w:rPr>
              <w:t>5.254</w:t>
            </w:r>
          </w:p>
        </w:tc>
        <w:tc>
          <w:tcPr>
            <w:tcW w:w="1311" w:type="dxa"/>
            <w:vAlign w:val="center"/>
          </w:tcPr>
          <w:p w14:paraId="0BA571F1" w14:textId="77777777" w:rsidR="00AC33E0" w:rsidRPr="00E13DB7" w:rsidRDefault="00AC33E0" w:rsidP="00AC33E0">
            <w:pPr>
              <w:tabs>
                <w:tab w:val="left" w:pos="567"/>
                <w:tab w:val="left" w:pos="1134"/>
              </w:tabs>
              <w:spacing w:after="0"/>
              <w:jc w:val="right"/>
              <w:rPr>
                <w:rFonts w:cs="Arial"/>
                <w:b/>
              </w:rPr>
            </w:pPr>
            <w:r w:rsidRPr="00E13DB7">
              <w:rPr>
                <w:rFonts w:cs="Arial"/>
                <w:b/>
              </w:rPr>
              <w:t>7.</w:t>
            </w:r>
            <w:r>
              <w:rPr>
                <w:rFonts w:cs="Arial"/>
                <w:b/>
              </w:rPr>
              <w:t>893</w:t>
            </w:r>
          </w:p>
        </w:tc>
        <w:tc>
          <w:tcPr>
            <w:tcW w:w="1311" w:type="dxa"/>
            <w:vAlign w:val="center"/>
          </w:tcPr>
          <w:p w14:paraId="6510DC73" w14:textId="77777777" w:rsidR="00AC33E0" w:rsidRPr="00E13DB7" w:rsidRDefault="00AC33E0" w:rsidP="00AC33E0">
            <w:pPr>
              <w:tabs>
                <w:tab w:val="left" w:pos="567"/>
                <w:tab w:val="left" w:pos="1134"/>
              </w:tabs>
              <w:spacing w:after="0"/>
              <w:jc w:val="right"/>
              <w:rPr>
                <w:rFonts w:cs="Arial"/>
                <w:b/>
              </w:rPr>
            </w:pPr>
            <w:r>
              <w:rPr>
                <w:rFonts w:cs="Arial"/>
                <w:b/>
              </w:rPr>
              <w:t>7.972</w:t>
            </w:r>
          </w:p>
        </w:tc>
        <w:tc>
          <w:tcPr>
            <w:tcW w:w="1311" w:type="dxa"/>
            <w:vAlign w:val="center"/>
          </w:tcPr>
          <w:p w14:paraId="52E626EE" w14:textId="77777777" w:rsidR="00AC33E0" w:rsidRPr="00E13DB7" w:rsidRDefault="00AC33E0" w:rsidP="00AC33E0">
            <w:pPr>
              <w:tabs>
                <w:tab w:val="left" w:pos="567"/>
                <w:tab w:val="left" w:pos="1134"/>
              </w:tabs>
              <w:spacing w:after="0"/>
              <w:jc w:val="right"/>
              <w:rPr>
                <w:rFonts w:cs="Arial"/>
                <w:b/>
              </w:rPr>
            </w:pPr>
            <w:r>
              <w:rPr>
                <w:rFonts w:cs="Arial"/>
                <w:b/>
              </w:rPr>
              <w:t>21.119</w:t>
            </w:r>
          </w:p>
        </w:tc>
      </w:tr>
      <w:tr w:rsidR="0093099B" w14:paraId="42CC7513" w14:textId="77777777" w:rsidTr="00AC33E0">
        <w:trPr>
          <w:trHeight w:val="397"/>
        </w:trPr>
        <w:tc>
          <w:tcPr>
            <w:tcW w:w="3823" w:type="dxa"/>
            <w:vAlign w:val="center"/>
          </w:tcPr>
          <w:p w14:paraId="0B79757B" w14:textId="77777777" w:rsidR="00AC33E0" w:rsidRPr="009C69DC" w:rsidRDefault="00AC33E0" w:rsidP="00AC33E0">
            <w:pPr>
              <w:tabs>
                <w:tab w:val="left" w:pos="567"/>
                <w:tab w:val="left" w:pos="1134"/>
              </w:tabs>
              <w:spacing w:after="0"/>
              <w:jc w:val="left"/>
              <w:rPr>
                <w:rFonts w:cs="Arial"/>
                <w:b/>
              </w:rPr>
            </w:pPr>
          </w:p>
        </w:tc>
        <w:tc>
          <w:tcPr>
            <w:tcW w:w="1311" w:type="dxa"/>
            <w:vAlign w:val="center"/>
          </w:tcPr>
          <w:p w14:paraId="4D9CB8AA" w14:textId="77777777" w:rsidR="00AC33E0" w:rsidRPr="00E13DB7" w:rsidRDefault="00AC33E0" w:rsidP="00AC33E0">
            <w:pPr>
              <w:tabs>
                <w:tab w:val="left" w:pos="567"/>
                <w:tab w:val="left" w:pos="1134"/>
              </w:tabs>
              <w:spacing w:after="0"/>
              <w:jc w:val="right"/>
              <w:rPr>
                <w:rFonts w:cs="Arial"/>
                <w:b/>
              </w:rPr>
            </w:pPr>
          </w:p>
        </w:tc>
        <w:tc>
          <w:tcPr>
            <w:tcW w:w="1311" w:type="dxa"/>
            <w:vAlign w:val="center"/>
          </w:tcPr>
          <w:p w14:paraId="10652874" w14:textId="77777777" w:rsidR="00AC33E0" w:rsidRPr="00E13DB7" w:rsidRDefault="00AC33E0" w:rsidP="00AC33E0">
            <w:pPr>
              <w:tabs>
                <w:tab w:val="left" w:pos="567"/>
                <w:tab w:val="left" w:pos="1134"/>
              </w:tabs>
              <w:spacing w:after="0"/>
              <w:jc w:val="right"/>
              <w:rPr>
                <w:rFonts w:cs="Arial"/>
                <w:b/>
              </w:rPr>
            </w:pPr>
          </w:p>
        </w:tc>
        <w:tc>
          <w:tcPr>
            <w:tcW w:w="1311" w:type="dxa"/>
            <w:vAlign w:val="center"/>
          </w:tcPr>
          <w:p w14:paraId="13CDA3B0" w14:textId="77777777" w:rsidR="00AC33E0" w:rsidRPr="00E13DB7" w:rsidRDefault="00AC33E0" w:rsidP="00AC33E0">
            <w:pPr>
              <w:tabs>
                <w:tab w:val="left" w:pos="567"/>
                <w:tab w:val="left" w:pos="1134"/>
              </w:tabs>
              <w:spacing w:after="0"/>
              <w:jc w:val="right"/>
              <w:rPr>
                <w:rFonts w:cs="Arial"/>
                <w:b/>
              </w:rPr>
            </w:pPr>
          </w:p>
        </w:tc>
        <w:tc>
          <w:tcPr>
            <w:tcW w:w="1311" w:type="dxa"/>
            <w:vAlign w:val="center"/>
          </w:tcPr>
          <w:p w14:paraId="530D5D98" w14:textId="77777777" w:rsidR="00AC33E0" w:rsidRPr="00E13DB7" w:rsidRDefault="00AC33E0" w:rsidP="00AC33E0">
            <w:pPr>
              <w:tabs>
                <w:tab w:val="left" w:pos="567"/>
                <w:tab w:val="left" w:pos="1134"/>
              </w:tabs>
              <w:spacing w:after="0"/>
              <w:jc w:val="right"/>
              <w:rPr>
                <w:rFonts w:cs="Arial"/>
                <w:b/>
              </w:rPr>
            </w:pPr>
          </w:p>
        </w:tc>
      </w:tr>
      <w:tr w:rsidR="0093099B" w14:paraId="70F1544E" w14:textId="77777777" w:rsidTr="00AC33E0">
        <w:trPr>
          <w:trHeight w:val="689"/>
        </w:trPr>
        <w:tc>
          <w:tcPr>
            <w:tcW w:w="3823" w:type="dxa"/>
            <w:vAlign w:val="center"/>
          </w:tcPr>
          <w:p w14:paraId="38B4201C" w14:textId="77777777" w:rsidR="00AC33E0" w:rsidRPr="009C69DC" w:rsidRDefault="00AC33E0" w:rsidP="00AC33E0">
            <w:pPr>
              <w:tabs>
                <w:tab w:val="left" w:pos="567"/>
                <w:tab w:val="left" w:pos="1134"/>
              </w:tabs>
              <w:spacing w:after="0"/>
              <w:jc w:val="left"/>
              <w:rPr>
                <w:rFonts w:cs="Arial"/>
                <w:b/>
              </w:rPr>
            </w:pPr>
            <w:r w:rsidRPr="009C69DC">
              <w:rPr>
                <w:rFonts w:cs="Arial"/>
                <w:b/>
              </w:rPr>
              <w:t>Pay and Pensions -previous MTFS</w:t>
            </w:r>
          </w:p>
        </w:tc>
        <w:tc>
          <w:tcPr>
            <w:tcW w:w="1311" w:type="dxa"/>
            <w:vAlign w:val="center"/>
          </w:tcPr>
          <w:p w14:paraId="7140B393" w14:textId="77777777" w:rsidR="00AC33E0" w:rsidRPr="00E13DB7" w:rsidRDefault="00AC33E0" w:rsidP="00AC33E0">
            <w:pPr>
              <w:tabs>
                <w:tab w:val="left" w:pos="567"/>
                <w:tab w:val="left" w:pos="1134"/>
              </w:tabs>
              <w:spacing w:after="0"/>
              <w:jc w:val="right"/>
              <w:rPr>
                <w:rFonts w:cs="Arial"/>
                <w:b/>
              </w:rPr>
            </w:pPr>
            <w:r w:rsidRPr="00E13DB7">
              <w:rPr>
                <w:rFonts w:cs="Arial"/>
                <w:b/>
              </w:rPr>
              <w:t>0.794</w:t>
            </w:r>
          </w:p>
        </w:tc>
        <w:tc>
          <w:tcPr>
            <w:tcW w:w="1311" w:type="dxa"/>
            <w:vAlign w:val="center"/>
          </w:tcPr>
          <w:p w14:paraId="5A3613B3" w14:textId="77777777" w:rsidR="00AC33E0" w:rsidRPr="00E13DB7" w:rsidRDefault="00AC33E0" w:rsidP="00AC33E0">
            <w:pPr>
              <w:tabs>
                <w:tab w:val="left" w:pos="567"/>
                <w:tab w:val="left" w:pos="1134"/>
              </w:tabs>
              <w:spacing w:after="0"/>
              <w:jc w:val="right"/>
              <w:rPr>
                <w:rFonts w:cs="Arial"/>
                <w:b/>
              </w:rPr>
            </w:pPr>
            <w:r w:rsidRPr="00E13DB7">
              <w:rPr>
                <w:rFonts w:cs="Arial"/>
                <w:b/>
              </w:rPr>
              <w:t>4.445</w:t>
            </w:r>
          </w:p>
        </w:tc>
        <w:tc>
          <w:tcPr>
            <w:tcW w:w="1311" w:type="dxa"/>
            <w:vAlign w:val="center"/>
          </w:tcPr>
          <w:p w14:paraId="679E9942" w14:textId="77777777" w:rsidR="00AC33E0" w:rsidRPr="00E13DB7" w:rsidRDefault="00AC33E0" w:rsidP="00AC33E0">
            <w:pPr>
              <w:tabs>
                <w:tab w:val="left" w:pos="567"/>
                <w:tab w:val="left" w:pos="1134"/>
              </w:tabs>
              <w:spacing w:after="0"/>
              <w:jc w:val="right"/>
              <w:rPr>
                <w:rFonts w:cs="Arial"/>
                <w:b/>
              </w:rPr>
            </w:pPr>
            <w:r w:rsidRPr="00E13DB7">
              <w:rPr>
                <w:rFonts w:cs="Arial"/>
                <w:b/>
              </w:rPr>
              <w:t>4.502</w:t>
            </w:r>
          </w:p>
        </w:tc>
        <w:tc>
          <w:tcPr>
            <w:tcW w:w="1311" w:type="dxa"/>
            <w:vAlign w:val="center"/>
          </w:tcPr>
          <w:p w14:paraId="4A6A7402" w14:textId="77777777" w:rsidR="00AC33E0" w:rsidRPr="00E13DB7" w:rsidRDefault="00AC33E0" w:rsidP="00AC33E0">
            <w:pPr>
              <w:tabs>
                <w:tab w:val="left" w:pos="567"/>
                <w:tab w:val="left" w:pos="1134"/>
              </w:tabs>
              <w:spacing w:after="0"/>
              <w:jc w:val="right"/>
              <w:rPr>
                <w:rFonts w:cs="Arial"/>
                <w:b/>
              </w:rPr>
            </w:pPr>
            <w:r>
              <w:rPr>
                <w:rFonts w:cs="Arial"/>
                <w:b/>
              </w:rPr>
              <w:t>9.741</w:t>
            </w:r>
          </w:p>
        </w:tc>
      </w:tr>
      <w:tr w:rsidR="0093099B" w14:paraId="0D29C482" w14:textId="77777777" w:rsidTr="00AC33E0">
        <w:trPr>
          <w:trHeight w:val="285"/>
        </w:trPr>
        <w:tc>
          <w:tcPr>
            <w:tcW w:w="3823" w:type="dxa"/>
            <w:vAlign w:val="center"/>
          </w:tcPr>
          <w:p w14:paraId="753C1D88" w14:textId="77777777" w:rsidR="00AC33E0" w:rsidRPr="009C69DC" w:rsidRDefault="00AC33E0" w:rsidP="00AC33E0">
            <w:pPr>
              <w:tabs>
                <w:tab w:val="left" w:pos="567"/>
                <w:tab w:val="left" w:pos="1134"/>
              </w:tabs>
              <w:spacing w:after="0"/>
              <w:jc w:val="left"/>
              <w:rPr>
                <w:rFonts w:cs="Arial"/>
                <w:highlight w:val="yellow"/>
              </w:rPr>
            </w:pPr>
          </w:p>
        </w:tc>
        <w:tc>
          <w:tcPr>
            <w:tcW w:w="1311" w:type="dxa"/>
            <w:vAlign w:val="center"/>
          </w:tcPr>
          <w:p w14:paraId="1E45EB83" w14:textId="77777777" w:rsidR="00AC33E0" w:rsidRPr="00E13DB7" w:rsidRDefault="00AC33E0" w:rsidP="00AC33E0">
            <w:pPr>
              <w:tabs>
                <w:tab w:val="left" w:pos="567"/>
                <w:tab w:val="left" w:pos="1134"/>
              </w:tabs>
              <w:spacing w:after="0"/>
              <w:jc w:val="right"/>
              <w:rPr>
                <w:rFonts w:cs="Arial"/>
              </w:rPr>
            </w:pPr>
          </w:p>
        </w:tc>
        <w:tc>
          <w:tcPr>
            <w:tcW w:w="1311" w:type="dxa"/>
            <w:vAlign w:val="center"/>
          </w:tcPr>
          <w:p w14:paraId="7B68B2DD" w14:textId="77777777" w:rsidR="00AC33E0" w:rsidRPr="00E13DB7" w:rsidRDefault="00AC33E0" w:rsidP="00AC33E0">
            <w:pPr>
              <w:tabs>
                <w:tab w:val="left" w:pos="567"/>
                <w:tab w:val="left" w:pos="1134"/>
              </w:tabs>
              <w:spacing w:after="0"/>
              <w:jc w:val="right"/>
              <w:rPr>
                <w:rFonts w:cs="Arial"/>
              </w:rPr>
            </w:pPr>
          </w:p>
        </w:tc>
        <w:tc>
          <w:tcPr>
            <w:tcW w:w="1311" w:type="dxa"/>
            <w:vAlign w:val="center"/>
          </w:tcPr>
          <w:p w14:paraId="7AA2C3EA" w14:textId="77777777" w:rsidR="00AC33E0" w:rsidRPr="00E13DB7" w:rsidRDefault="00AC33E0" w:rsidP="00AC33E0">
            <w:pPr>
              <w:tabs>
                <w:tab w:val="left" w:pos="567"/>
                <w:tab w:val="left" w:pos="1134"/>
              </w:tabs>
              <w:spacing w:after="0"/>
              <w:jc w:val="right"/>
              <w:rPr>
                <w:rFonts w:cs="Arial"/>
                <w:b/>
              </w:rPr>
            </w:pPr>
          </w:p>
        </w:tc>
        <w:tc>
          <w:tcPr>
            <w:tcW w:w="1311" w:type="dxa"/>
            <w:vAlign w:val="center"/>
          </w:tcPr>
          <w:p w14:paraId="5142DD1F" w14:textId="77777777" w:rsidR="00AC33E0" w:rsidRPr="00E13DB7" w:rsidRDefault="00AC33E0" w:rsidP="00AC33E0">
            <w:pPr>
              <w:tabs>
                <w:tab w:val="left" w:pos="567"/>
                <w:tab w:val="left" w:pos="1134"/>
              </w:tabs>
              <w:spacing w:after="0"/>
              <w:jc w:val="right"/>
              <w:rPr>
                <w:rFonts w:cs="Arial"/>
                <w:b/>
              </w:rPr>
            </w:pPr>
          </w:p>
        </w:tc>
      </w:tr>
      <w:tr w:rsidR="0093099B" w14:paraId="011AAB86" w14:textId="77777777" w:rsidTr="00AC33E0">
        <w:trPr>
          <w:trHeight w:val="689"/>
        </w:trPr>
        <w:tc>
          <w:tcPr>
            <w:tcW w:w="3823" w:type="dxa"/>
            <w:vAlign w:val="center"/>
          </w:tcPr>
          <w:p w14:paraId="16646554" w14:textId="77777777" w:rsidR="00AC33E0" w:rsidRPr="00E13DB7" w:rsidRDefault="00AC33E0" w:rsidP="00AC33E0">
            <w:pPr>
              <w:tabs>
                <w:tab w:val="left" w:pos="567"/>
                <w:tab w:val="left" w:pos="1134"/>
              </w:tabs>
              <w:spacing w:after="0"/>
              <w:jc w:val="left"/>
              <w:rPr>
                <w:rFonts w:cs="Arial"/>
                <w:b/>
              </w:rPr>
            </w:pPr>
            <w:r w:rsidRPr="00E13DB7">
              <w:rPr>
                <w:rFonts w:cs="Arial"/>
                <w:b/>
              </w:rPr>
              <w:t>Impact on Financial Gap</w:t>
            </w:r>
          </w:p>
        </w:tc>
        <w:tc>
          <w:tcPr>
            <w:tcW w:w="1311" w:type="dxa"/>
            <w:vAlign w:val="center"/>
          </w:tcPr>
          <w:p w14:paraId="2490008A" w14:textId="77777777" w:rsidR="00AC33E0" w:rsidRPr="00E13DB7" w:rsidRDefault="00AC33E0" w:rsidP="00AC33E0">
            <w:pPr>
              <w:tabs>
                <w:tab w:val="left" w:pos="567"/>
                <w:tab w:val="left" w:pos="1134"/>
              </w:tabs>
              <w:spacing w:after="0"/>
              <w:jc w:val="right"/>
              <w:rPr>
                <w:rFonts w:cs="Arial"/>
                <w:b/>
              </w:rPr>
            </w:pPr>
            <w:r>
              <w:rPr>
                <w:rFonts w:cs="Arial"/>
                <w:b/>
              </w:rPr>
              <w:t>4.460</w:t>
            </w:r>
          </w:p>
        </w:tc>
        <w:tc>
          <w:tcPr>
            <w:tcW w:w="1311" w:type="dxa"/>
            <w:vAlign w:val="center"/>
          </w:tcPr>
          <w:p w14:paraId="43716A60" w14:textId="77777777" w:rsidR="00AC33E0" w:rsidRPr="00E13DB7" w:rsidRDefault="00AC33E0" w:rsidP="00AC33E0">
            <w:pPr>
              <w:tabs>
                <w:tab w:val="left" w:pos="567"/>
                <w:tab w:val="left" w:pos="1134"/>
              </w:tabs>
              <w:spacing w:after="0"/>
              <w:jc w:val="right"/>
              <w:rPr>
                <w:rFonts w:cs="Arial"/>
                <w:b/>
              </w:rPr>
            </w:pPr>
            <w:r>
              <w:rPr>
                <w:rFonts w:cs="Arial"/>
                <w:b/>
              </w:rPr>
              <w:t>3.448</w:t>
            </w:r>
          </w:p>
        </w:tc>
        <w:tc>
          <w:tcPr>
            <w:tcW w:w="1311" w:type="dxa"/>
            <w:vAlign w:val="center"/>
          </w:tcPr>
          <w:p w14:paraId="710AC036" w14:textId="77777777" w:rsidR="00AC33E0" w:rsidRPr="00E13DB7" w:rsidRDefault="00AC33E0" w:rsidP="00AC33E0">
            <w:pPr>
              <w:tabs>
                <w:tab w:val="left" w:pos="567"/>
                <w:tab w:val="left" w:pos="1134"/>
              </w:tabs>
              <w:spacing w:after="0"/>
              <w:jc w:val="right"/>
              <w:rPr>
                <w:rFonts w:cs="Arial"/>
                <w:b/>
              </w:rPr>
            </w:pPr>
            <w:r>
              <w:rPr>
                <w:rFonts w:cs="Arial"/>
                <w:b/>
              </w:rPr>
              <w:t>3.470</w:t>
            </w:r>
          </w:p>
        </w:tc>
        <w:tc>
          <w:tcPr>
            <w:tcW w:w="1311" w:type="dxa"/>
            <w:vAlign w:val="center"/>
          </w:tcPr>
          <w:p w14:paraId="447CC191" w14:textId="77777777" w:rsidR="00AC33E0" w:rsidRPr="00E13DB7" w:rsidRDefault="00AC33E0" w:rsidP="00AC33E0">
            <w:pPr>
              <w:tabs>
                <w:tab w:val="left" w:pos="567"/>
                <w:tab w:val="left" w:pos="1134"/>
              </w:tabs>
              <w:spacing w:after="0"/>
              <w:jc w:val="right"/>
              <w:rPr>
                <w:rFonts w:cs="Arial"/>
                <w:b/>
              </w:rPr>
            </w:pPr>
            <w:r>
              <w:rPr>
                <w:rFonts w:cs="Arial"/>
                <w:b/>
              </w:rPr>
              <w:t>11.378</w:t>
            </w:r>
          </w:p>
        </w:tc>
      </w:tr>
    </w:tbl>
    <w:p w14:paraId="7732F0F8" w14:textId="77777777" w:rsidR="00AC33E0" w:rsidRPr="009C69DC" w:rsidRDefault="00AC33E0" w:rsidP="00AC33E0">
      <w:pPr>
        <w:spacing w:after="0"/>
        <w:rPr>
          <w:rFonts w:cs="Arial"/>
          <w:b/>
          <w:highlight w:val="yellow"/>
        </w:rPr>
      </w:pPr>
    </w:p>
    <w:p w14:paraId="78534A42" w14:textId="77777777" w:rsidR="00AC33E0" w:rsidRPr="009C69DC" w:rsidRDefault="00AC33E0" w:rsidP="00AC33E0">
      <w:pPr>
        <w:spacing w:after="0"/>
        <w:rPr>
          <w:rFonts w:cs="Arial"/>
          <w:b/>
          <w:highlight w:val="yellow"/>
        </w:rPr>
      </w:pPr>
    </w:p>
    <w:p w14:paraId="2E54CE92" w14:textId="77777777" w:rsidR="00AC33E0" w:rsidRPr="009C69DC" w:rsidRDefault="00AC33E0" w:rsidP="00AC33E0">
      <w:pPr>
        <w:spacing w:after="0"/>
        <w:rPr>
          <w:rFonts w:cs="Arial"/>
          <w:b/>
          <w:highlight w:val="yellow"/>
        </w:rPr>
      </w:pPr>
    </w:p>
    <w:p w14:paraId="068595FA" w14:textId="77777777" w:rsidR="00AC33E0" w:rsidRPr="009C69DC" w:rsidRDefault="00AC33E0" w:rsidP="00AC33E0">
      <w:pPr>
        <w:spacing w:after="0"/>
        <w:rPr>
          <w:rFonts w:cs="Arial"/>
          <w:b/>
          <w:highlight w:val="yellow"/>
        </w:rPr>
      </w:pPr>
    </w:p>
    <w:p w14:paraId="4DD7509E" w14:textId="77777777" w:rsidR="00AC33E0" w:rsidRPr="009C69DC" w:rsidRDefault="00AC33E0" w:rsidP="00AC33E0">
      <w:pPr>
        <w:spacing w:after="0"/>
        <w:rPr>
          <w:rFonts w:cs="Arial"/>
          <w:b/>
          <w:highlight w:val="yellow"/>
        </w:rPr>
      </w:pPr>
    </w:p>
    <w:p w14:paraId="583C8B19" w14:textId="77777777" w:rsidR="00AC33E0" w:rsidRPr="009C69DC" w:rsidRDefault="00AC33E0" w:rsidP="00AC33E0">
      <w:pPr>
        <w:spacing w:after="0"/>
        <w:rPr>
          <w:rFonts w:cs="Arial"/>
          <w:b/>
          <w:highlight w:val="yellow"/>
        </w:rPr>
      </w:pPr>
    </w:p>
    <w:p w14:paraId="25B125C9" w14:textId="77777777" w:rsidR="00AC33E0" w:rsidRPr="009C69DC" w:rsidRDefault="00AC33E0" w:rsidP="00AC33E0">
      <w:pPr>
        <w:spacing w:after="0"/>
        <w:rPr>
          <w:rFonts w:cs="Arial"/>
          <w:b/>
          <w:highlight w:val="yellow"/>
        </w:rPr>
      </w:pPr>
    </w:p>
    <w:p w14:paraId="1803527C" w14:textId="77777777" w:rsidR="00AC33E0" w:rsidRDefault="00AC33E0" w:rsidP="00AC33E0">
      <w:pPr>
        <w:spacing w:after="0"/>
        <w:rPr>
          <w:rFonts w:cs="Arial"/>
          <w:b/>
          <w:highlight w:val="yellow"/>
        </w:rPr>
      </w:pPr>
    </w:p>
    <w:p w14:paraId="528016F1" w14:textId="77777777" w:rsidR="00AC33E0" w:rsidRPr="009C69DC" w:rsidRDefault="00AC33E0" w:rsidP="00AC33E0">
      <w:pPr>
        <w:spacing w:after="0"/>
        <w:rPr>
          <w:rFonts w:cs="Arial"/>
          <w:b/>
          <w:highlight w:val="yellow"/>
        </w:rPr>
      </w:pPr>
    </w:p>
    <w:p w14:paraId="16FD08B9" w14:textId="77777777" w:rsidR="00AC33E0" w:rsidRPr="009C69DC" w:rsidRDefault="00AC33E0" w:rsidP="00AC33E0">
      <w:pPr>
        <w:spacing w:after="0"/>
        <w:rPr>
          <w:rFonts w:cs="Arial"/>
          <w:b/>
          <w:highlight w:val="yellow"/>
        </w:rPr>
      </w:pPr>
    </w:p>
    <w:p w14:paraId="04446DA3" w14:textId="77777777" w:rsidR="00AC33E0" w:rsidRPr="00B72EDD" w:rsidRDefault="00AC33E0" w:rsidP="00AC33E0">
      <w:pPr>
        <w:spacing w:after="0"/>
        <w:rPr>
          <w:rFonts w:cs="Arial"/>
          <w:b/>
        </w:rPr>
      </w:pPr>
      <w:r w:rsidRPr="00B72EDD">
        <w:rPr>
          <w:rFonts w:cs="Arial"/>
          <w:b/>
        </w:rPr>
        <w:t>3.2 Price Inflation and Cost Changes</w:t>
      </w:r>
    </w:p>
    <w:p w14:paraId="502EC42E" w14:textId="77777777" w:rsidR="00AC33E0" w:rsidRPr="009C69DC" w:rsidRDefault="00AC33E0" w:rsidP="00AC33E0">
      <w:pPr>
        <w:spacing w:after="0"/>
        <w:rPr>
          <w:rFonts w:cs="Arial"/>
          <w:b/>
          <w:highlight w:val="yellow"/>
        </w:rPr>
      </w:pPr>
    </w:p>
    <w:p w14:paraId="7E3338F2" w14:textId="432AB4A6" w:rsidR="00624199" w:rsidRPr="00624199" w:rsidRDefault="00AC33E0" w:rsidP="005B099C">
      <w:pPr>
        <w:tabs>
          <w:tab w:val="left" w:pos="1134"/>
        </w:tabs>
        <w:spacing w:after="0"/>
        <w:rPr>
          <w:rFonts w:cs="Arial"/>
        </w:rPr>
      </w:pPr>
      <w:r w:rsidRPr="00624199">
        <w:rPr>
          <w:rFonts w:cs="Arial"/>
        </w:rPr>
        <w:t xml:space="preserve">Contractual price increases represent a significant cost pressure to the county council. The assumptions have been subject to regular review by services, with a </w:t>
      </w:r>
      <w:r w:rsidR="00AA76FE" w:rsidRPr="00624199">
        <w:rPr>
          <w:rFonts w:cs="Arial"/>
        </w:rPr>
        <w:t>decrease of £3.097</w:t>
      </w:r>
      <w:r w:rsidRPr="00624199">
        <w:rPr>
          <w:rFonts w:cs="Arial"/>
        </w:rPr>
        <w:t>m identified when comparing the values within the previous MTFS</w:t>
      </w:r>
      <w:r w:rsidR="004177E4">
        <w:rPr>
          <w:rFonts w:cs="Arial"/>
        </w:rPr>
        <w:t xml:space="preserve">. </w:t>
      </w:r>
      <w:r w:rsidR="00624199">
        <w:rPr>
          <w:rFonts w:cs="Arial"/>
        </w:rPr>
        <w:t xml:space="preserve">This is </w:t>
      </w:r>
      <w:r w:rsidR="00624199" w:rsidRPr="00624199">
        <w:rPr>
          <w:rFonts w:cs="Arial"/>
        </w:rPr>
        <w:t xml:space="preserve">primarily </w:t>
      </w:r>
      <w:r w:rsidR="00624199">
        <w:rPr>
          <w:rFonts w:cs="Arial"/>
        </w:rPr>
        <w:t xml:space="preserve">resulting from </w:t>
      </w:r>
      <w:r w:rsidR="00624199" w:rsidRPr="00624199">
        <w:rPr>
          <w:rFonts w:cs="Arial"/>
        </w:rPr>
        <w:t xml:space="preserve">service cost adjustments due to changes to service configuration, particularly in relation to support service delivery models.   </w:t>
      </w:r>
    </w:p>
    <w:p w14:paraId="182CEE8B" w14:textId="4E662740" w:rsidR="00AC33E0" w:rsidRPr="004177E4" w:rsidRDefault="00624199" w:rsidP="00AC33E0">
      <w:pPr>
        <w:spacing w:after="0"/>
        <w:rPr>
          <w:rFonts w:cs="Arial"/>
        </w:rPr>
      </w:pPr>
      <w:r>
        <w:rPr>
          <w:rFonts w:cs="Arial"/>
        </w:rPr>
        <w:t xml:space="preserve"> </w:t>
      </w:r>
    </w:p>
    <w:p w14:paraId="0EC80073" w14:textId="77777777" w:rsidR="00AC33E0" w:rsidRPr="00B72EDD" w:rsidRDefault="00AC33E0" w:rsidP="00AC33E0">
      <w:pPr>
        <w:spacing w:after="0"/>
        <w:rPr>
          <w:rFonts w:cs="Arial"/>
          <w:b/>
          <w:i/>
          <w:u w:val="single"/>
        </w:rPr>
      </w:pPr>
      <w:r w:rsidRPr="00B72EDD">
        <w:rPr>
          <w:rFonts w:cs="Arial"/>
          <w:b/>
          <w:i/>
          <w:u w:val="single"/>
        </w:rPr>
        <w:t>Table 5</w:t>
      </w:r>
    </w:p>
    <w:p w14:paraId="29C5E6DD" w14:textId="77777777" w:rsidR="00AC33E0" w:rsidRPr="009C69DC" w:rsidRDefault="00AC33E0" w:rsidP="00AC33E0">
      <w:pPr>
        <w:tabs>
          <w:tab w:val="left" w:pos="567"/>
          <w:tab w:val="left" w:pos="1134"/>
        </w:tabs>
        <w:spacing w:after="0"/>
        <w:rPr>
          <w:rFonts w:cs="Arial"/>
          <w:highlight w:val="yellow"/>
        </w:rPr>
      </w:pPr>
    </w:p>
    <w:tbl>
      <w:tblPr>
        <w:tblStyle w:val="TableGrid10"/>
        <w:tblW w:w="8642" w:type="dxa"/>
        <w:jc w:val="center"/>
        <w:tblLook w:val="04A0" w:firstRow="1" w:lastRow="0" w:firstColumn="1" w:lastColumn="0" w:noHBand="0" w:noVBand="1"/>
      </w:tblPr>
      <w:tblGrid>
        <w:gridCol w:w="3915"/>
        <w:gridCol w:w="1181"/>
        <w:gridCol w:w="1182"/>
        <w:gridCol w:w="1182"/>
        <w:gridCol w:w="1182"/>
      </w:tblGrid>
      <w:tr w:rsidR="0093099B" w14:paraId="400E2ECF" w14:textId="77777777" w:rsidTr="00AC33E0">
        <w:trPr>
          <w:trHeight w:val="692"/>
          <w:jc w:val="center"/>
        </w:trPr>
        <w:tc>
          <w:tcPr>
            <w:tcW w:w="3915" w:type="dxa"/>
            <w:shd w:val="clear" w:color="auto" w:fill="BFBFBF" w:themeFill="background1" w:themeFillShade="BF"/>
          </w:tcPr>
          <w:p w14:paraId="283670C5" w14:textId="77777777" w:rsidR="00AC33E0" w:rsidRPr="009C69DC" w:rsidRDefault="00AC33E0" w:rsidP="00AC33E0">
            <w:pPr>
              <w:tabs>
                <w:tab w:val="left" w:pos="567"/>
                <w:tab w:val="left" w:pos="1134"/>
              </w:tabs>
              <w:spacing w:after="0"/>
              <w:rPr>
                <w:rFonts w:cs="Arial"/>
                <w:highlight w:val="yellow"/>
              </w:rPr>
            </w:pPr>
          </w:p>
        </w:tc>
        <w:tc>
          <w:tcPr>
            <w:tcW w:w="1181" w:type="dxa"/>
            <w:shd w:val="clear" w:color="auto" w:fill="BFBFBF" w:themeFill="background1" w:themeFillShade="BF"/>
            <w:vAlign w:val="center"/>
          </w:tcPr>
          <w:p w14:paraId="4B911028" w14:textId="77777777" w:rsidR="00AC33E0" w:rsidRPr="00A0165E" w:rsidRDefault="00AC33E0" w:rsidP="00AC33E0">
            <w:pPr>
              <w:tabs>
                <w:tab w:val="left" w:pos="567"/>
                <w:tab w:val="left" w:pos="1134"/>
              </w:tabs>
              <w:spacing w:after="0"/>
              <w:jc w:val="center"/>
              <w:rPr>
                <w:rFonts w:cs="Arial"/>
                <w:b/>
              </w:rPr>
            </w:pPr>
            <w:r w:rsidRPr="00A0165E">
              <w:rPr>
                <w:rFonts w:cs="Arial"/>
                <w:b/>
              </w:rPr>
              <w:t>2020/21</w:t>
            </w:r>
          </w:p>
          <w:p w14:paraId="1725992A" w14:textId="77777777" w:rsidR="00AC33E0" w:rsidRPr="00A0165E" w:rsidRDefault="00AC33E0" w:rsidP="00AC33E0">
            <w:pPr>
              <w:tabs>
                <w:tab w:val="left" w:pos="567"/>
                <w:tab w:val="left" w:pos="1134"/>
              </w:tabs>
              <w:spacing w:after="0"/>
              <w:jc w:val="center"/>
              <w:rPr>
                <w:rFonts w:cs="Arial"/>
                <w:b/>
              </w:rPr>
            </w:pPr>
            <w:r w:rsidRPr="00A0165E">
              <w:rPr>
                <w:rFonts w:cs="Arial"/>
                <w:b/>
              </w:rPr>
              <w:t>£m</w:t>
            </w:r>
          </w:p>
        </w:tc>
        <w:tc>
          <w:tcPr>
            <w:tcW w:w="1182" w:type="dxa"/>
            <w:shd w:val="clear" w:color="auto" w:fill="BFBFBF" w:themeFill="background1" w:themeFillShade="BF"/>
            <w:vAlign w:val="center"/>
          </w:tcPr>
          <w:p w14:paraId="18719070" w14:textId="77777777" w:rsidR="00AC33E0" w:rsidRPr="00A0165E" w:rsidRDefault="00AC33E0" w:rsidP="00AC33E0">
            <w:pPr>
              <w:tabs>
                <w:tab w:val="left" w:pos="567"/>
                <w:tab w:val="left" w:pos="1134"/>
              </w:tabs>
              <w:spacing w:after="0"/>
              <w:jc w:val="center"/>
              <w:rPr>
                <w:rFonts w:cs="Arial"/>
                <w:b/>
              </w:rPr>
            </w:pPr>
            <w:r w:rsidRPr="00A0165E">
              <w:rPr>
                <w:rFonts w:cs="Arial"/>
                <w:b/>
              </w:rPr>
              <w:t>2021/22</w:t>
            </w:r>
          </w:p>
          <w:p w14:paraId="57BEEAA8" w14:textId="77777777" w:rsidR="00AC33E0" w:rsidRPr="00A0165E" w:rsidRDefault="00AC33E0" w:rsidP="00AC33E0">
            <w:pPr>
              <w:tabs>
                <w:tab w:val="left" w:pos="567"/>
                <w:tab w:val="left" w:pos="1134"/>
              </w:tabs>
              <w:spacing w:after="0"/>
              <w:jc w:val="center"/>
              <w:rPr>
                <w:rFonts w:cs="Arial"/>
                <w:b/>
              </w:rPr>
            </w:pPr>
            <w:r w:rsidRPr="00A0165E">
              <w:rPr>
                <w:rFonts w:cs="Arial"/>
                <w:b/>
              </w:rPr>
              <w:t>£m</w:t>
            </w:r>
          </w:p>
        </w:tc>
        <w:tc>
          <w:tcPr>
            <w:tcW w:w="1182" w:type="dxa"/>
            <w:shd w:val="clear" w:color="auto" w:fill="BFBFBF" w:themeFill="background1" w:themeFillShade="BF"/>
            <w:vAlign w:val="center"/>
          </w:tcPr>
          <w:p w14:paraId="523D244B" w14:textId="77777777" w:rsidR="00AC33E0" w:rsidRPr="00A0165E" w:rsidRDefault="00AC33E0" w:rsidP="00AC33E0">
            <w:pPr>
              <w:tabs>
                <w:tab w:val="left" w:pos="567"/>
                <w:tab w:val="left" w:pos="1134"/>
              </w:tabs>
              <w:spacing w:after="0"/>
              <w:jc w:val="center"/>
              <w:rPr>
                <w:rFonts w:cs="Arial"/>
                <w:b/>
              </w:rPr>
            </w:pPr>
            <w:r w:rsidRPr="00A0165E">
              <w:rPr>
                <w:rFonts w:cs="Arial"/>
                <w:b/>
              </w:rPr>
              <w:t>2022/23</w:t>
            </w:r>
          </w:p>
          <w:p w14:paraId="0EA6355B" w14:textId="77777777" w:rsidR="00AC33E0" w:rsidRPr="00A0165E" w:rsidRDefault="00AC33E0" w:rsidP="00AC33E0">
            <w:pPr>
              <w:tabs>
                <w:tab w:val="left" w:pos="567"/>
                <w:tab w:val="left" w:pos="1134"/>
              </w:tabs>
              <w:spacing w:after="0"/>
              <w:jc w:val="center"/>
              <w:rPr>
                <w:rFonts w:cs="Arial"/>
                <w:b/>
              </w:rPr>
            </w:pPr>
            <w:r w:rsidRPr="00A0165E">
              <w:rPr>
                <w:rFonts w:cs="Arial"/>
                <w:b/>
              </w:rPr>
              <w:t>£m</w:t>
            </w:r>
          </w:p>
        </w:tc>
        <w:tc>
          <w:tcPr>
            <w:tcW w:w="1182" w:type="dxa"/>
            <w:shd w:val="clear" w:color="auto" w:fill="BFBFBF" w:themeFill="background1" w:themeFillShade="BF"/>
            <w:vAlign w:val="center"/>
          </w:tcPr>
          <w:p w14:paraId="19598AF3" w14:textId="77777777" w:rsidR="00AC33E0" w:rsidRPr="00A0165E" w:rsidRDefault="00AC33E0" w:rsidP="00AC33E0">
            <w:pPr>
              <w:tabs>
                <w:tab w:val="left" w:pos="567"/>
                <w:tab w:val="left" w:pos="1134"/>
              </w:tabs>
              <w:spacing w:after="0"/>
              <w:jc w:val="center"/>
              <w:rPr>
                <w:rFonts w:cs="Arial"/>
                <w:b/>
              </w:rPr>
            </w:pPr>
            <w:r w:rsidRPr="00A0165E">
              <w:rPr>
                <w:rFonts w:cs="Arial"/>
                <w:b/>
              </w:rPr>
              <w:t>Total</w:t>
            </w:r>
          </w:p>
          <w:p w14:paraId="1B344A2C" w14:textId="77777777" w:rsidR="00AC33E0" w:rsidRPr="00A0165E" w:rsidRDefault="00AC33E0" w:rsidP="00AC33E0">
            <w:pPr>
              <w:tabs>
                <w:tab w:val="left" w:pos="567"/>
                <w:tab w:val="left" w:pos="1134"/>
              </w:tabs>
              <w:spacing w:after="0"/>
              <w:jc w:val="center"/>
              <w:rPr>
                <w:rFonts w:cs="Arial"/>
                <w:b/>
              </w:rPr>
            </w:pPr>
            <w:r w:rsidRPr="00A0165E">
              <w:rPr>
                <w:rFonts w:cs="Arial"/>
                <w:b/>
              </w:rPr>
              <w:t>£m</w:t>
            </w:r>
          </w:p>
        </w:tc>
      </w:tr>
      <w:tr w:rsidR="0093099B" w14:paraId="43352BC1" w14:textId="77777777" w:rsidTr="00AC33E0">
        <w:trPr>
          <w:trHeight w:val="692"/>
          <w:jc w:val="center"/>
        </w:trPr>
        <w:tc>
          <w:tcPr>
            <w:tcW w:w="3915" w:type="dxa"/>
            <w:vAlign w:val="center"/>
          </w:tcPr>
          <w:p w14:paraId="7B269735" w14:textId="77777777" w:rsidR="00AC33E0" w:rsidRPr="00A0165E" w:rsidRDefault="00AC33E0" w:rsidP="00AC33E0">
            <w:pPr>
              <w:tabs>
                <w:tab w:val="left" w:pos="567"/>
                <w:tab w:val="left" w:pos="1134"/>
              </w:tabs>
              <w:spacing w:after="0"/>
              <w:jc w:val="left"/>
              <w:rPr>
                <w:rFonts w:cs="Arial"/>
              </w:rPr>
            </w:pPr>
            <w:r w:rsidRPr="00A0165E">
              <w:rPr>
                <w:rFonts w:cs="Arial"/>
              </w:rPr>
              <w:t>Adults Services</w:t>
            </w:r>
          </w:p>
        </w:tc>
        <w:tc>
          <w:tcPr>
            <w:tcW w:w="1181" w:type="dxa"/>
            <w:vAlign w:val="center"/>
          </w:tcPr>
          <w:p w14:paraId="1283CE8F" w14:textId="77777777" w:rsidR="00AC33E0" w:rsidRPr="00515398" w:rsidRDefault="00AC33E0" w:rsidP="00AC33E0">
            <w:pPr>
              <w:tabs>
                <w:tab w:val="left" w:pos="567"/>
                <w:tab w:val="left" w:pos="1134"/>
              </w:tabs>
              <w:spacing w:after="0"/>
              <w:jc w:val="right"/>
              <w:rPr>
                <w:rFonts w:cs="Arial"/>
              </w:rPr>
            </w:pPr>
            <w:r w:rsidRPr="00515398">
              <w:rPr>
                <w:rFonts w:cs="Arial"/>
              </w:rPr>
              <w:t>16.360</w:t>
            </w:r>
          </w:p>
        </w:tc>
        <w:tc>
          <w:tcPr>
            <w:tcW w:w="1182" w:type="dxa"/>
            <w:vAlign w:val="center"/>
          </w:tcPr>
          <w:p w14:paraId="6597F2A1" w14:textId="77777777" w:rsidR="00AC33E0" w:rsidRPr="00515398" w:rsidRDefault="00AC33E0" w:rsidP="00AC33E0">
            <w:pPr>
              <w:tabs>
                <w:tab w:val="left" w:pos="567"/>
                <w:tab w:val="left" w:pos="1134"/>
              </w:tabs>
              <w:spacing w:after="0"/>
              <w:jc w:val="right"/>
              <w:rPr>
                <w:rFonts w:cs="Arial"/>
              </w:rPr>
            </w:pPr>
            <w:r w:rsidRPr="00515398">
              <w:rPr>
                <w:rFonts w:cs="Arial"/>
              </w:rPr>
              <w:t>12.380</w:t>
            </w:r>
          </w:p>
        </w:tc>
        <w:tc>
          <w:tcPr>
            <w:tcW w:w="1182" w:type="dxa"/>
            <w:vAlign w:val="center"/>
          </w:tcPr>
          <w:p w14:paraId="1143EA8D" w14:textId="77777777" w:rsidR="00AC33E0" w:rsidRPr="00515398" w:rsidRDefault="00AC33E0" w:rsidP="00AC33E0">
            <w:pPr>
              <w:tabs>
                <w:tab w:val="left" w:pos="567"/>
                <w:tab w:val="left" w:pos="1134"/>
              </w:tabs>
              <w:spacing w:after="0"/>
              <w:jc w:val="right"/>
              <w:rPr>
                <w:rFonts w:cs="Arial"/>
              </w:rPr>
            </w:pPr>
            <w:r w:rsidRPr="00515398">
              <w:rPr>
                <w:rFonts w:cs="Arial"/>
              </w:rPr>
              <w:t>13.147</w:t>
            </w:r>
          </w:p>
        </w:tc>
        <w:tc>
          <w:tcPr>
            <w:tcW w:w="1182" w:type="dxa"/>
            <w:vAlign w:val="center"/>
          </w:tcPr>
          <w:p w14:paraId="7589D173" w14:textId="77777777" w:rsidR="00AC33E0" w:rsidRPr="00515398" w:rsidRDefault="00AC33E0" w:rsidP="00AC33E0">
            <w:pPr>
              <w:tabs>
                <w:tab w:val="left" w:pos="567"/>
                <w:tab w:val="left" w:pos="1134"/>
              </w:tabs>
              <w:spacing w:after="0"/>
              <w:jc w:val="right"/>
              <w:rPr>
                <w:rFonts w:cs="Arial"/>
                <w:b/>
              </w:rPr>
            </w:pPr>
            <w:r>
              <w:rPr>
                <w:rFonts w:cs="Arial"/>
                <w:b/>
              </w:rPr>
              <w:t>41.887</w:t>
            </w:r>
          </w:p>
        </w:tc>
      </w:tr>
      <w:tr w:rsidR="0093099B" w14:paraId="05B6BE8D" w14:textId="77777777" w:rsidTr="00AC33E0">
        <w:trPr>
          <w:trHeight w:val="692"/>
          <w:jc w:val="center"/>
        </w:trPr>
        <w:tc>
          <w:tcPr>
            <w:tcW w:w="3915" w:type="dxa"/>
            <w:vAlign w:val="center"/>
          </w:tcPr>
          <w:p w14:paraId="69DC5211" w14:textId="77777777" w:rsidR="00AC33E0" w:rsidRPr="00A0165E" w:rsidRDefault="00AC33E0" w:rsidP="00AC33E0">
            <w:pPr>
              <w:tabs>
                <w:tab w:val="left" w:pos="567"/>
                <w:tab w:val="left" w:pos="1134"/>
              </w:tabs>
              <w:spacing w:after="0"/>
              <w:jc w:val="left"/>
              <w:rPr>
                <w:rFonts w:cs="Arial"/>
              </w:rPr>
            </w:pPr>
            <w:r w:rsidRPr="00A0165E">
              <w:rPr>
                <w:rFonts w:cs="Arial"/>
              </w:rPr>
              <w:t>Children's Services</w:t>
            </w:r>
          </w:p>
        </w:tc>
        <w:tc>
          <w:tcPr>
            <w:tcW w:w="1181" w:type="dxa"/>
            <w:vAlign w:val="center"/>
          </w:tcPr>
          <w:p w14:paraId="444556E7" w14:textId="77777777" w:rsidR="00AC33E0" w:rsidRPr="00515398" w:rsidRDefault="00AC33E0" w:rsidP="00AC33E0">
            <w:pPr>
              <w:tabs>
                <w:tab w:val="left" w:pos="567"/>
                <w:tab w:val="left" w:pos="1134"/>
              </w:tabs>
              <w:spacing w:after="0"/>
              <w:jc w:val="right"/>
              <w:rPr>
                <w:rFonts w:cs="Arial"/>
              </w:rPr>
            </w:pPr>
            <w:r>
              <w:rPr>
                <w:rFonts w:cs="Arial"/>
              </w:rPr>
              <w:t>1.827</w:t>
            </w:r>
          </w:p>
        </w:tc>
        <w:tc>
          <w:tcPr>
            <w:tcW w:w="1182" w:type="dxa"/>
            <w:vAlign w:val="center"/>
          </w:tcPr>
          <w:p w14:paraId="3323B802" w14:textId="77777777" w:rsidR="00AC33E0" w:rsidRPr="00515398" w:rsidRDefault="00AC33E0" w:rsidP="00AC33E0">
            <w:pPr>
              <w:tabs>
                <w:tab w:val="left" w:pos="567"/>
                <w:tab w:val="left" w:pos="1134"/>
              </w:tabs>
              <w:spacing w:after="0"/>
              <w:jc w:val="right"/>
              <w:rPr>
                <w:rFonts w:cs="Arial"/>
              </w:rPr>
            </w:pPr>
            <w:r>
              <w:rPr>
                <w:rFonts w:cs="Arial"/>
              </w:rPr>
              <w:t>1.536</w:t>
            </w:r>
          </w:p>
        </w:tc>
        <w:tc>
          <w:tcPr>
            <w:tcW w:w="1182" w:type="dxa"/>
            <w:vAlign w:val="center"/>
          </w:tcPr>
          <w:p w14:paraId="7C56E144" w14:textId="77777777" w:rsidR="00AC33E0" w:rsidRPr="00515398" w:rsidRDefault="00AC33E0" w:rsidP="00AC33E0">
            <w:pPr>
              <w:tabs>
                <w:tab w:val="left" w:pos="567"/>
                <w:tab w:val="left" w:pos="1134"/>
              </w:tabs>
              <w:spacing w:after="0"/>
              <w:jc w:val="right"/>
              <w:rPr>
                <w:rFonts w:cs="Arial"/>
              </w:rPr>
            </w:pPr>
            <w:r>
              <w:rPr>
                <w:rFonts w:cs="Arial"/>
              </w:rPr>
              <w:t>1.441</w:t>
            </w:r>
          </w:p>
        </w:tc>
        <w:tc>
          <w:tcPr>
            <w:tcW w:w="1182" w:type="dxa"/>
            <w:vAlign w:val="center"/>
          </w:tcPr>
          <w:p w14:paraId="2C0CE4EA" w14:textId="77777777" w:rsidR="00AC33E0" w:rsidRPr="00515398" w:rsidRDefault="00AC33E0" w:rsidP="00AC33E0">
            <w:pPr>
              <w:tabs>
                <w:tab w:val="left" w:pos="567"/>
                <w:tab w:val="left" w:pos="1134"/>
              </w:tabs>
              <w:spacing w:after="0"/>
              <w:jc w:val="right"/>
              <w:rPr>
                <w:rFonts w:cs="Arial"/>
                <w:b/>
              </w:rPr>
            </w:pPr>
            <w:r>
              <w:rPr>
                <w:rFonts w:cs="Arial"/>
                <w:b/>
              </w:rPr>
              <w:t>4.804</w:t>
            </w:r>
          </w:p>
        </w:tc>
      </w:tr>
      <w:tr w:rsidR="0093099B" w14:paraId="5C25FAD1" w14:textId="77777777" w:rsidTr="00AC33E0">
        <w:trPr>
          <w:trHeight w:val="692"/>
          <w:jc w:val="center"/>
        </w:trPr>
        <w:tc>
          <w:tcPr>
            <w:tcW w:w="3915" w:type="dxa"/>
            <w:vAlign w:val="center"/>
          </w:tcPr>
          <w:p w14:paraId="4EB8DD05" w14:textId="77777777" w:rsidR="00AC33E0" w:rsidRPr="00A0165E" w:rsidRDefault="00AC33E0" w:rsidP="00AC33E0">
            <w:pPr>
              <w:tabs>
                <w:tab w:val="left" w:pos="567"/>
                <w:tab w:val="left" w:pos="1134"/>
              </w:tabs>
              <w:spacing w:after="0"/>
              <w:jc w:val="left"/>
              <w:rPr>
                <w:rFonts w:cs="Arial"/>
              </w:rPr>
            </w:pPr>
            <w:r w:rsidRPr="00A0165E">
              <w:rPr>
                <w:rFonts w:cs="Arial"/>
              </w:rPr>
              <w:t xml:space="preserve">Waste Services </w:t>
            </w:r>
          </w:p>
        </w:tc>
        <w:tc>
          <w:tcPr>
            <w:tcW w:w="1181" w:type="dxa"/>
            <w:vAlign w:val="center"/>
          </w:tcPr>
          <w:p w14:paraId="2503F2B1" w14:textId="77777777" w:rsidR="00AC33E0" w:rsidRPr="00515398" w:rsidRDefault="00AC33E0" w:rsidP="00AC33E0">
            <w:pPr>
              <w:tabs>
                <w:tab w:val="left" w:pos="567"/>
                <w:tab w:val="left" w:pos="1134"/>
              </w:tabs>
              <w:spacing w:after="0"/>
              <w:jc w:val="right"/>
              <w:rPr>
                <w:rFonts w:cs="Arial"/>
              </w:rPr>
            </w:pPr>
            <w:r>
              <w:rPr>
                <w:rFonts w:cs="Arial"/>
              </w:rPr>
              <w:t>1.870</w:t>
            </w:r>
          </w:p>
        </w:tc>
        <w:tc>
          <w:tcPr>
            <w:tcW w:w="1182" w:type="dxa"/>
            <w:vAlign w:val="center"/>
          </w:tcPr>
          <w:p w14:paraId="23823D08" w14:textId="77777777" w:rsidR="00AC33E0" w:rsidRPr="00515398" w:rsidRDefault="00AC33E0" w:rsidP="00AC33E0">
            <w:pPr>
              <w:tabs>
                <w:tab w:val="left" w:pos="567"/>
                <w:tab w:val="left" w:pos="1134"/>
              </w:tabs>
              <w:spacing w:after="0"/>
              <w:jc w:val="right"/>
              <w:rPr>
                <w:rFonts w:cs="Arial"/>
              </w:rPr>
            </w:pPr>
            <w:r>
              <w:rPr>
                <w:rFonts w:cs="Arial"/>
              </w:rPr>
              <w:t>2.347</w:t>
            </w:r>
          </w:p>
        </w:tc>
        <w:tc>
          <w:tcPr>
            <w:tcW w:w="1182" w:type="dxa"/>
            <w:vAlign w:val="center"/>
          </w:tcPr>
          <w:p w14:paraId="566C0F62" w14:textId="77777777" w:rsidR="00AC33E0" w:rsidRPr="00515398" w:rsidRDefault="00AC33E0" w:rsidP="00AC33E0">
            <w:pPr>
              <w:tabs>
                <w:tab w:val="left" w:pos="567"/>
                <w:tab w:val="left" w:pos="1134"/>
              </w:tabs>
              <w:spacing w:after="0"/>
              <w:jc w:val="right"/>
              <w:rPr>
                <w:rFonts w:cs="Arial"/>
              </w:rPr>
            </w:pPr>
            <w:r>
              <w:rPr>
                <w:rFonts w:cs="Arial"/>
              </w:rPr>
              <w:t>2.578</w:t>
            </w:r>
          </w:p>
        </w:tc>
        <w:tc>
          <w:tcPr>
            <w:tcW w:w="1182" w:type="dxa"/>
            <w:vAlign w:val="center"/>
          </w:tcPr>
          <w:p w14:paraId="0A96F447" w14:textId="77777777" w:rsidR="00AC33E0" w:rsidRPr="00515398" w:rsidRDefault="00AC33E0" w:rsidP="00AC33E0">
            <w:pPr>
              <w:tabs>
                <w:tab w:val="left" w:pos="567"/>
                <w:tab w:val="left" w:pos="1134"/>
              </w:tabs>
              <w:spacing w:after="0"/>
              <w:jc w:val="right"/>
              <w:rPr>
                <w:rFonts w:cs="Arial"/>
                <w:b/>
              </w:rPr>
            </w:pPr>
            <w:r>
              <w:rPr>
                <w:rFonts w:cs="Arial"/>
                <w:b/>
              </w:rPr>
              <w:t>6.795</w:t>
            </w:r>
          </w:p>
        </w:tc>
      </w:tr>
      <w:tr w:rsidR="0093099B" w14:paraId="0899F4FE" w14:textId="77777777" w:rsidTr="00AC33E0">
        <w:trPr>
          <w:trHeight w:val="692"/>
          <w:jc w:val="center"/>
        </w:trPr>
        <w:tc>
          <w:tcPr>
            <w:tcW w:w="3915" w:type="dxa"/>
            <w:vAlign w:val="center"/>
          </w:tcPr>
          <w:p w14:paraId="38141884" w14:textId="77777777" w:rsidR="00AC33E0" w:rsidRPr="00A0165E" w:rsidRDefault="00AC33E0" w:rsidP="00AC33E0">
            <w:pPr>
              <w:tabs>
                <w:tab w:val="left" w:pos="567"/>
                <w:tab w:val="left" w:pos="1134"/>
              </w:tabs>
              <w:spacing w:after="0"/>
              <w:jc w:val="left"/>
              <w:rPr>
                <w:rFonts w:cs="Arial"/>
              </w:rPr>
            </w:pPr>
            <w:r>
              <w:rPr>
                <w:rFonts w:cs="Arial"/>
              </w:rPr>
              <w:t>Transport Services</w:t>
            </w:r>
          </w:p>
        </w:tc>
        <w:tc>
          <w:tcPr>
            <w:tcW w:w="1181" w:type="dxa"/>
            <w:vAlign w:val="center"/>
          </w:tcPr>
          <w:p w14:paraId="75FD4BB4" w14:textId="77777777" w:rsidR="00AC33E0" w:rsidRDefault="00AC33E0" w:rsidP="00AC33E0">
            <w:pPr>
              <w:tabs>
                <w:tab w:val="left" w:pos="567"/>
                <w:tab w:val="left" w:pos="1134"/>
              </w:tabs>
              <w:spacing w:after="0"/>
              <w:jc w:val="right"/>
              <w:rPr>
                <w:rFonts w:cs="Arial"/>
              </w:rPr>
            </w:pPr>
            <w:r>
              <w:rPr>
                <w:rFonts w:cs="Arial"/>
              </w:rPr>
              <w:t>1.397</w:t>
            </w:r>
          </w:p>
        </w:tc>
        <w:tc>
          <w:tcPr>
            <w:tcW w:w="1182" w:type="dxa"/>
            <w:vAlign w:val="center"/>
          </w:tcPr>
          <w:p w14:paraId="114E2ABC" w14:textId="77777777" w:rsidR="00AC33E0" w:rsidRDefault="00AC33E0" w:rsidP="00AC33E0">
            <w:pPr>
              <w:tabs>
                <w:tab w:val="left" w:pos="567"/>
                <w:tab w:val="left" w:pos="1134"/>
              </w:tabs>
              <w:spacing w:after="0"/>
              <w:jc w:val="right"/>
              <w:rPr>
                <w:rFonts w:cs="Arial"/>
              </w:rPr>
            </w:pPr>
            <w:r>
              <w:rPr>
                <w:rFonts w:cs="Arial"/>
              </w:rPr>
              <w:t>1.463</w:t>
            </w:r>
          </w:p>
        </w:tc>
        <w:tc>
          <w:tcPr>
            <w:tcW w:w="1182" w:type="dxa"/>
            <w:vAlign w:val="center"/>
          </w:tcPr>
          <w:p w14:paraId="7ECA28F6" w14:textId="77777777" w:rsidR="00AC33E0" w:rsidRDefault="00AC33E0" w:rsidP="00AC33E0">
            <w:pPr>
              <w:tabs>
                <w:tab w:val="left" w:pos="567"/>
                <w:tab w:val="left" w:pos="1134"/>
              </w:tabs>
              <w:spacing w:after="0"/>
              <w:jc w:val="right"/>
              <w:rPr>
                <w:rFonts w:cs="Arial"/>
              </w:rPr>
            </w:pPr>
            <w:r>
              <w:rPr>
                <w:rFonts w:cs="Arial"/>
              </w:rPr>
              <w:t>1.553</w:t>
            </w:r>
          </w:p>
        </w:tc>
        <w:tc>
          <w:tcPr>
            <w:tcW w:w="1182" w:type="dxa"/>
            <w:vAlign w:val="center"/>
          </w:tcPr>
          <w:p w14:paraId="2C926E30" w14:textId="77777777" w:rsidR="00AC33E0" w:rsidRDefault="00AC33E0" w:rsidP="00AC33E0">
            <w:pPr>
              <w:tabs>
                <w:tab w:val="left" w:pos="567"/>
                <w:tab w:val="left" w:pos="1134"/>
              </w:tabs>
              <w:spacing w:after="0"/>
              <w:jc w:val="right"/>
              <w:rPr>
                <w:rFonts w:cs="Arial"/>
                <w:b/>
              </w:rPr>
            </w:pPr>
            <w:r>
              <w:rPr>
                <w:rFonts w:cs="Arial"/>
                <w:b/>
              </w:rPr>
              <w:t>4.413</w:t>
            </w:r>
          </w:p>
        </w:tc>
      </w:tr>
      <w:tr w:rsidR="0093099B" w14:paraId="087EBEDA" w14:textId="77777777" w:rsidTr="00AC33E0">
        <w:trPr>
          <w:trHeight w:val="692"/>
          <w:jc w:val="center"/>
        </w:trPr>
        <w:tc>
          <w:tcPr>
            <w:tcW w:w="3915" w:type="dxa"/>
            <w:vAlign w:val="center"/>
          </w:tcPr>
          <w:p w14:paraId="155867AD" w14:textId="77777777" w:rsidR="00AC33E0" w:rsidRPr="00A0165E" w:rsidRDefault="00AC33E0" w:rsidP="00AC33E0">
            <w:pPr>
              <w:tabs>
                <w:tab w:val="left" w:pos="567"/>
                <w:tab w:val="left" w:pos="1134"/>
              </w:tabs>
              <w:spacing w:after="0"/>
              <w:jc w:val="left"/>
              <w:rPr>
                <w:rFonts w:cs="Arial"/>
              </w:rPr>
            </w:pPr>
            <w:r w:rsidRPr="00A0165E">
              <w:rPr>
                <w:rFonts w:cs="Arial"/>
              </w:rPr>
              <w:t>Other Services</w:t>
            </w:r>
          </w:p>
        </w:tc>
        <w:tc>
          <w:tcPr>
            <w:tcW w:w="1181" w:type="dxa"/>
            <w:vAlign w:val="center"/>
          </w:tcPr>
          <w:p w14:paraId="7B8E228C" w14:textId="77777777" w:rsidR="00AC33E0" w:rsidRPr="00515398" w:rsidRDefault="00AC33E0" w:rsidP="00AC33E0">
            <w:pPr>
              <w:tabs>
                <w:tab w:val="left" w:pos="567"/>
                <w:tab w:val="left" w:pos="1134"/>
              </w:tabs>
              <w:spacing w:after="0"/>
              <w:jc w:val="right"/>
              <w:rPr>
                <w:rFonts w:cs="Arial"/>
              </w:rPr>
            </w:pPr>
            <w:r>
              <w:rPr>
                <w:rFonts w:cs="Arial"/>
              </w:rPr>
              <w:t>2.213</w:t>
            </w:r>
          </w:p>
        </w:tc>
        <w:tc>
          <w:tcPr>
            <w:tcW w:w="1182" w:type="dxa"/>
            <w:vAlign w:val="center"/>
          </w:tcPr>
          <w:p w14:paraId="16D058BC" w14:textId="108BA7F9" w:rsidR="00AC33E0" w:rsidRPr="00515398" w:rsidRDefault="00AA76FE" w:rsidP="00AC33E0">
            <w:pPr>
              <w:tabs>
                <w:tab w:val="left" w:pos="567"/>
                <w:tab w:val="left" w:pos="1134"/>
              </w:tabs>
              <w:spacing w:after="0"/>
              <w:jc w:val="right"/>
              <w:rPr>
                <w:rFonts w:cs="Arial"/>
              </w:rPr>
            </w:pPr>
            <w:r>
              <w:rPr>
                <w:rFonts w:cs="Arial"/>
              </w:rPr>
              <w:t>-1.492</w:t>
            </w:r>
          </w:p>
        </w:tc>
        <w:tc>
          <w:tcPr>
            <w:tcW w:w="1182" w:type="dxa"/>
            <w:vAlign w:val="center"/>
          </w:tcPr>
          <w:p w14:paraId="51E8F226" w14:textId="4AAA854D" w:rsidR="00AC33E0" w:rsidRPr="00515398" w:rsidRDefault="00AA76FE" w:rsidP="00AC33E0">
            <w:pPr>
              <w:tabs>
                <w:tab w:val="left" w:pos="567"/>
                <w:tab w:val="left" w:pos="1134"/>
              </w:tabs>
              <w:spacing w:after="0"/>
              <w:jc w:val="right"/>
              <w:rPr>
                <w:rFonts w:cs="Arial"/>
              </w:rPr>
            </w:pPr>
            <w:r>
              <w:rPr>
                <w:rFonts w:cs="Arial"/>
              </w:rPr>
              <w:t>1.800</w:t>
            </w:r>
          </w:p>
        </w:tc>
        <w:tc>
          <w:tcPr>
            <w:tcW w:w="1182" w:type="dxa"/>
            <w:vAlign w:val="center"/>
          </w:tcPr>
          <w:p w14:paraId="709E6B14" w14:textId="62EF69B6" w:rsidR="00AC33E0" w:rsidRPr="00515398" w:rsidRDefault="00AA76FE" w:rsidP="00AC33E0">
            <w:pPr>
              <w:tabs>
                <w:tab w:val="left" w:pos="567"/>
                <w:tab w:val="left" w:pos="1134"/>
              </w:tabs>
              <w:spacing w:after="0"/>
              <w:jc w:val="right"/>
              <w:rPr>
                <w:rFonts w:cs="Arial"/>
                <w:b/>
              </w:rPr>
            </w:pPr>
            <w:r>
              <w:rPr>
                <w:rFonts w:cs="Arial"/>
                <w:b/>
              </w:rPr>
              <w:t>2.521</w:t>
            </w:r>
          </w:p>
        </w:tc>
      </w:tr>
      <w:tr w:rsidR="0093099B" w14:paraId="15970D1D" w14:textId="77777777" w:rsidTr="00AC33E0">
        <w:tblPrEx>
          <w:jc w:val="left"/>
        </w:tblPrEx>
        <w:trPr>
          <w:trHeight w:val="692"/>
        </w:trPr>
        <w:tc>
          <w:tcPr>
            <w:tcW w:w="3915" w:type="dxa"/>
            <w:vAlign w:val="center"/>
          </w:tcPr>
          <w:p w14:paraId="016C69EC" w14:textId="77777777" w:rsidR="00AC33E0" w:rsidRPr="00A0165E" w:rsidRDefault="00AC33E0" w:rsidP="00AC33E0">
            <w:pPr>
              <w:tabs>
                <w:tab w:val="left" w:pos="567"/>
                <w:tab w:val="left" w:pos="1134"/>
              </w:tabs>
              <w:spacing w:after="0"/>
              <w:jc w:val="left"/>
              <w:rPr>
                <w:rFonts w:cs="Arial"/>
                <w:b/>
              </w:rPr>
            </w:pPr>
            <w:r w:rsidRPr="00A0165E">
              <w:rPr>
                <w:rFonts w:cs="Arial"/>
                <w:b/>
              </w:rPr>
              <w:t>Revised price inflation requirements</w:t>
            </w:r>
          </w:p>
        </w:tc>
        <w:tc>
          <w:tcPr>
            <w:tcW w:w="1181" w:type="dxa"/>
            <w:vAlign w:val="center"/>
          </w:tcPr>
          <w:p w14:paraId="3728231B" w14:textId="77777777" w:rsidR="00AC33E0" w:rsidRPr="00515398" w:rsidRDefault="00AC33E0" w:rsidP="00AC33E0">
            <w:pPr>
              <w:tabs>
                <w:tab w:val="left" w:pos="567"/>
                <w:tab w:val="left" w:pos="1134"/>
              </w:tabs>
              <w:spacing w:after="0"/>
              <w:jc w:val="right"/>
              <w:rPr>
                <w:rFonts w:cs="Arial"/>
                <w:b/>
              </w:rPr>
            </w:pPr>
            <w:r>
              <w:rPr>
                <w:rFonts w:cs="Arial"/>
                <w:b/>
              </w:rPr>
              <w:t>23.667</w:t>
            </w:r>
          </w:p>
        </w:tc>
        <w:tc>
          <w:tcPr>
            <w:tcW w:w="1182" w:type="dxa"/>
            <w:vAlign w:val="center"/>
          </w:tcPr>
          <w:p w14:paraId="19D78845" w14:textId="64CAECFE" w:rsidR="00AC33E0" w:rsidRPr="00515398" w:rsidRDefault="00AA76FE" w:rsidP="00AC33E0">
            <w:pPr>
              <w:tabs>
                <w:tab w:val="left" w:pos="567"/>
                <w:tab w:val="left" w:pos="1134"/>
              </w:tabs>
              <w:spacing w:after="0"/>
              <w:jc w:val="right"/>
              <w:rPr>
                <w:rFonts w:cs="Arial"/>
                <w:b/>
              </w:rPr>
            </w:pPr>
            <w:r>
              <w:rPr>
                <w:rFonts w:cs="Arial"/>
                <w:b/>
              </w:rPr>
              <w:t>16.234</w:t>
            </w:r>
          </w:p>
        </w:tc>
        <w:tc>
          <w:tcPr>
            <w:tcW w:w="1182" w:type="dxa"/>
            <w:vAlign w:val="center"/>
          </w:tcPr>
          <w:p w14:paraId="7C938C9D" w14:textId="5F80C53D" w:rsidR="00AC33E0" w:rsidRPr="00515398" w:rsidRDefault="00AA76FE" w:rsidP="00AC33E0">
            <w:pPr>
              <w:tabs>
                <w:tab w:val="left" w:pos="567"/>
                <w:tab w:val="left" w:pos="1134"/>
              </w:tabs>
              <w:spacing w:after="0"/>
              <w:jc w:val="right"/>
              <w:rPr>
                <w:rFonts w:cs="Arial"/>
                <w:b/>
              </w:rPr>
            </w:pPr>
            <w:r>
              <w:rPr>
                <w:rFonts w:cs="Arial"/>
                <w:b/>
              </w:rPr>
              <w:t>20.519</w:t>
            </w:r>
          </w:p>
        </w:tc>
        <w:tc>
          <w:tcPr>
            <w:tcW w:w="1182" w:type="dxa"/>
            <w:vAlign w:val="center"/>
          </w:tcPr>
          <w:p w14:paraId="4386632A" w14:textId="688FF38A" w:rsidR="00AC33E0" w:rsidRPr="00515398" w:rsidRDefault="00AA76FE" w:rsidP="00AC33E0">
            <w:pPr>
              <w:tabs>
                <w:tab w:val="left" w:pos="567"/>
                <w:tab w:val="left" w:pos="1134"/>
              </w:tabs>
              <w:spacing w:after="0"/>
              <w:jc w:val="right"/>
              <w:rPr>
                <w:rFonts w:cs="Arial"/>
                <w:b/>
              </w:rPr>
            </w:pPr>
            <w:r>
              <w:rPr>
                <w:rFonts w:cs="Arial"/>
                <w:b/>
              </w:rPr>
              <w:t>60.420</w:t>
            </w:r>
          </w:p>
        </w:tc>
      </w:tr>
      <w:tr w:rsidR="0093099B" w14:paraId="6B2FF7CB" w14:textId="77777777" w:rsidTr="00AC33E0">
        <w:trPr>
          <w:trHeight w:val="436"/>
          <w:jc w:val="center"/>
        </w:trPr>
        <w:tc>
          <w:tcPr>
            <w:tcW w:w="3915" w:type="dxa"/>
            <w:vAlign w:val="center"/>
          </w:tcPr>
          <w:p w14:paraId="5EDED69E" w14:textId="77777777" w:rsidR="00AC33E0" w:rsidRPr="00A0165E" w:rsidRDefault="00AC33E0" w:rsidP="00AC33E0">
            <w:pPr>
              <w:tabs>
                <w:tab w:val="left" w:pos="567"/>
                <w:tab w:val="left" w:pos="1134"/>
              </w:tabs>
              <w:spacing w:after="0"/>
              <w:jc w:val="left"/>
              <w:rPr>
                <w:rFonts w:cs="Arial"/>
              </w:rPr>
            </w:pPr>
          </w:p>
        </w:tc>
        <w:tc>
          <w:tcPr>
            <w:tcW w:w="1181" w:type="dxa"/>
            <w:vAlign w:val="center"/>
          </w:tcPr>
          <w:p w14:paraId="25DC575F" w14:textId="77777777" w:rsidR="00AC33E0" w:rsidRPr="00515398" w:rsidRDefault="00AC33E0" w:rsidP="00AC33E0">
            <w:pPr>
              <w:tabs>
                <w:tab w:val="left" w:pos="567"/>
                <w:tab w:val="left" w:pos="1134"/>
              </w:tabs>
              <w:spacing w:after="0"/>
              <w:jc w:val="right"/>
              <w:rPr>
                <w:rFonts w:cs="Arial"/>
              </w:rPr>
            </w:pPr>
          </w:p>
        </w:tc>
        <w:tc>
          <w:tcPr>
            <w:tcW w:w="1182" w:type="dxa"/>
            <w:vAlign w:val="center"/>
          </w:tcPr>
          <w:p w14:paraId="1110A78A" w14:textId="77777777" w:rsidR="00AC33E0" w:rsidRPr="00515398" w:rsidRDefault="00AC33E0" w:rsidP="00AC33E0">
            <w:pPr>
              <w:tabs>
                <w:tab w:val="left" w:pos="567"/>
                <w:tab w:val="left" w:pos="1134"/>
              </w:tabs>
              <w:spacing w:after="0"/>
              <w:jc w:val="right"/>
              <w:rPr>
                <w:rFonts w:cs="Arial"/>
              </w:rPr>
            </w:pPr>
          </w:p>
        </w:tc>
        <w:tc>
          <w:tcPr>
            <w:tcW w:w="1182" w:type="dxa"/>
            <w:vAlign w:val="center"/>
          </w:tcPr>
          <w:p w14:paraId="46F80C4F" w14:textId="77777777" w:rsidR="00AC33E0" w:rsidRPr="00515398" w:rsidRDefault="00AC33E0" w:rsidP="00AC33E0">
            <w:pPr>
              <w:tabs>
                <w:tab w:val="left" w:pos="567"/>
                <w:tab w:val="left" w:pos="1134"/>
              </w:tabs>
              <w:spacing w:after="0"/>
              <w:jc w:val="right"/>
              <w:rPr>
                <w:rFonts w:cs="Arial"/>
                <w:b/>
              </w:rPr>
            </w:pPr>
          </w:p>
        </w:tc>
        <w:tc>
          <w:tcPr>
            <w:tcW w:w="1182" w:type="dxa"/>
            <w:vAlign w:val="center"/>
          </w:tcPr>
          <w:p w14:paraId="34FD0EDD" w14:textId="77777777" w:rsidR="00AC33E0" w:rsidRPr="00515398" w:rsidRDefault="00AC33E0" w:rsidP="00AC33E0">
            <w:pPr>
              <w:tabs>
                <w:tab w:val="left" w:pos="567"/>
                <w:tab w:val="left" w:pos="1134"/>
              </w:tabs>
              <w:spacing w:after="0"/>
              <w:jc w:val="right"/>
              <w:rPr>
                <w:rFonts w:cs="Arial"/>
                <w:b/>
              </w:rPr>
            </w:pPr>
          </w:p>
        </w:tc>
      </w:tr>
      <w:tr w:rsidR="0093099B" w14:paraId="3F76BB58" w14:textId="77777777" w:rsidTr="00AC33E0">
        <w:tblPrEx>
          <w:jc w:val="left"/>
        </w:tblPrEx>
        <w:trPr>
          <w:trHeight w:val="692"/>
        </w:trPr>
        <w:tc>
          <w:tcPr>
            <w:tcW w:w="3915" w:type="dxa"/>
            <w:vAlign w:val="center"/>
          </w:tcPr>
          <w:p w14:paraId="2A4219D6" w14:textId="77777777" w:rsidR="00AC33E0" w:rsidRPr="00A0165E" w:rsidRDefault="00AC33E0" w:rsidP="00AC33E0">
            <w:pPr>
              <w:tabs>
                <w:tab w:val="left" w:pos="567"/>
                <w:tab w:val="left" w:pos="1134"/>
              </w:tabs>
              <w:spacing w:after="0"/>
              <w:jc w:val="left"/>
              <w:rPr>
                <w:rFonts w:cs="Arial"/>
                <w:b/>
              </w:rPr>
            </w:pPr>
            <w:r w:rsidRPr="00A0165E">
              <w:rPr>
                <w:rFonts w:cs="Arial"/>
                <w:b/>
              </w:rPr>
              <w:t>Price inflation – previous MTFS</w:t>
            </w:r>
          </w:p>
        </w:tc>
        <w:tc>
          <w:tcPr>
            <w:tcW w:w="1181" w:type="dxa"/>
            <w:vAlign w:val="center"/>
          </w:tcPr>
          <w:p w14:paraId="44E60095" w14:textId="77777777" w:rsidR="00AC33E0" w:rsidRPr="00515398" w:rsidRDefault="00AC33E0" w:rsidP="00AC33E0">
            <w:pPr>
              <w:tabs>
                <w:tab w:val="left" w:pos="567"/>
                <w:tab w:val="left" w:pos="1134"/>
              </w:tabs>
              <w:spacing w:after="0"/>
              <w:jc w:val="right"/>
              <w:rPr>
                <w:rFonts w:cs="Arial"/>
                <w:b/>
              </w:rPr>
            </w:pPr>
            <w:r w:rsidRPr="00515398">
              <w:rPr>
                <w:rFonts w:cs="Arial"/>
                <w:b/>
              </w:rPr>
              <w:t>23.293</w:t>
            </w:r>
          </w:p>
        </w:tc>
        <w:tc>
          <w:tcPr>
            <w:tcW w:w="1182" w:type="dxa"/>
            <w:vAlign w:val="center"/>
          </w:tcPr>
          <w:p w14:paraId="46B125CD" w14:textId="77777777" w:rsidR="00AC33E0" w:rsidRPr="00515398" w:rsidRDefault="00AC33E0" w:rsidP="00AC33E0">
            <w:pPr>
              <w:tabs>
                <w:tab w:val="left" w:pos="567"/>
                <w:tab w:val="left" w:pos="1134"/>
              </w:tabs>
              <w:spacing w:after="0"/>
              <w:jc w:val="right"/>
              <w:rPr>
                <w:rFonts w:cs="Arial"/>
                <w:b/>
              </w:rPr>
            </w:pPr>
            <w:r w:rsidRPr="00515398">
              <w:rPr>
                <w:rFonts w:cs="Arial"/>
                <w:b/>
              </w:rPr>
              <w:t>19.352</w:t>
            </w:r>
          </w:p>
        </w:tc>
        <w:tc>
          <w:tcPr>
            <w:tcW w:w="1182" w:type="dxa"/>
            <w:vAlign w:val="center"/>
          </w:tcPr>
          <w:p w14:paraId="150402DD" w14:textId="77777777" w:rsidR="00AC33E0" w:rsidRPr="00515398" w:rsidRDefault="00AC33E0" w:rsidP="00AC33E0">
            <w:pPr>
              <w:tabs>
                <w:tab w:val="left" w:pos="567"/>
                <w:tab w:val="left" w:pos="1134"/>
              </w:tabs>
              <w:spacing w:after="0"/>
              <w:jc w:val="right"/>
              <w:rPr>
                <w:rFonts w:cs="Arial"/>
                <w:b/>
              </w:rPr>
            </w:pPr>
            <w:r w:rsidRPr="00515398">
              <w:rPr>
                <w:rFonts w:cs="Arial"/>
                <w:b/>
              </w:rPr>
              <w:t>20.871</w:t>
            </w:r>
          </w:p>
        </w:tc>
        <w:tc>
          <w:tcPr>
            <w:tcW w:w="1182" w:type="dxa"/>
            <w:vAlign w:val="center"/>
          </w:tcPr>
          <w:p w14:paraId="55EEA682" w14:textId="77777777" w:rsidR="00AC33E0" w:rsidRPr="00515398" w:rsidRDefault="00AC33E0" w:rsidP="00AC33E0">
            <w:pPr>
              <w:tabs>
                <w:tab w:val="left" w:pos="567"/>
                <w:tab w:val="left" w:pos="1134"/>
              </w:tabs>
              <w:spacing w:after="0"/>
              <w:jc w:val="right"/>
              <w:rPr>
                <w:rFonts w:cs="Arial"/>
                <w:b/>
              </w:rPr>
            </w:pPr>
            <w:r>
              <w:rPr>
                <w:rFonts w:cs="Arial"/>
                <w:b/>
              </w:rPr>
              <w:t>63.516</w:t>
            </w:r>
          </w:p>
        </w:tc>
      </w:tr>
      <w:tr w:rsidR="0093099B" w14:paraId="4CFEF6F3" w14:textId="77777777" w:rsidTr="00AC33E0">
        <w:trPr>
          <w:trHeight w:val="436"/>
          <w:jc w:val="center"/>
        </w:trPr>
        <w:tc>
          <w:tcPr>
            <w:tcW w:w="3915" w:type="dxa"/>
            <w:vAlign w:val="center"/>
          </w:tcPr>
          <w:p w14:paraId="48FDEAF2" w14:textId="77777777" w:rsidR="00AC33E0" w:rsidRPr="00A0165E" w:rsidRDefault="00AC33E0" w:rsidP="00AC33E0">
            <w:pPr>
              <w:tabs>
                <w:tab w:val="left" w:pos="567"/>
                <w:tab w:val="left" w:pos="1134"/>
              </w:tabs>
              <w:spacing w:after="0"/>
              <w:jc w:val="left"/>
              <w:rPr>
                <w:rFonts w:cs="Arial"/>
              </w:rPr>
            </w:pPr>
          </w:p>
        </w:tc>
        <w:tc>
          <w:tcPr>
            <w:tcW w:w="1181" w:type="dxa"/>
            <w:vAlign w:val="center"/>
          </w:tcPr>
          <w:p w14:paraId="502B26CC" w14:textId="77777777" w:rsidR="00AC33E0" w:rsidRPr="009C69DC" w:rsidRDefault="00AC33E0" w:rsidP="00AC33E0">
            <w:pPr>
              <w:tabs>
                <w:tab w:val="left" w:pos="567"/>
                <w:tab w:val="left" w:pos="1134"/>
              </w:tabs>
              <w:spacing w:after="0"/>
              <w:jc w:val="right"/>
              <w:rPr>
                <w:rFonts w:cs="Arial"/>
                <w:highlight w:val="yellow"/>
              </w:rPr>
            </w:pPr>
          </w:p>
        </w:tc>
        <w:tc>
          <w:tcPr>
            <w:tcW w:w="1182" w:type="dxa"/>
            <w:vAlign w:val="center"/>
          </w:tcPr>
          <w:p w14:paraId="227C34A1" w14:textId="77777777" w:rsidR="00AC33E0" w:rsidRPr="009C69DC" w:rsidRDefault="00AC33E0" w:rsidP="00AC33E0">
            <w:pPr>
              <w:tabs>
                <w:tab w:val="left" w:pos="567"/>
                <w:tab w:val="left" w:pos="1134"/>
              </w:tabs>
              <w:spacing w:after="0"/>
              <w:jc w:val="right"/>
              <w:rPr>
                <w:rFonts w:cs="Arial"/>
                <w:highlight w:val="yellow"/>
              </w:rPr>
            </w:pPr>
          </w:p>
        </w:tc>
        <w:tc>
          <w:tcPr>
            <w:tcW w:w="1182" w:type="dxa"/>
            <w:vAlign w:val="center"/>
          </w:tcPr>
          <w:p w14:paraId="11FBDA22" w14:textId="77777777" w:rsidR="00AC33E0" w:rsidRPr="009C69DC" w:rsidRDefault="00AC33E0" w:rsidP="00AC33E0">
            <w:pPr>
              <w:tabs>
                <w:tab w:val="left" w:pos="567"/>
                <w:tab w:val="left" w:pos="1134"/>
              </w:tabs>
              <w:spacing w:after="0"/>
              <w:jc w:val="right"/>
              <w:rPr>
                <w:rFonts w:cs="Arial"/>
                <w:b/>
                <w:highlight w:val="yellow"/>
              </w:rPr>
            </w:pPr>
          </w:p>
        </w:tc>
        <w:tc>
          <w:tcPr>
            <w:tcW w:w="1182" w:type="dxa"/>
            <w:vAlign w:val="center"/>
          </w:tcPr>
          <w:p w14:paraId="05EC156F" w14:textId="77777777" w:rsidR="00AC33E0" w:rsidRPr="009C69DC" w:rsidRDefault="00AC33E0" w:rsidP="00AC33E0">
            <w:pPr>
              <w:tabs>
                <w:tab w:val="left" w:pos="567"/>
                <w:tab w:val="left" w:pos="1134"/>
              </w:tabs>
              <w:spacing w:after="0"/>
              <w:jc w:val="right"/>
              <w:rPr>
                <w:rFonts w:cs="Arial"/>
                <w:b/>
                <w:highlight w:val="yellow"/>
              </w:rPr>
            </w:pPr>
          </w:p>
        </w:tc>
      </w:tr>
      <w:tr w:rsidR="0093099B" w14:paraId="673682C6" w14:textId="77777777" w:rsidTr="00AC33E0">
        <w:trPr>
          <w:trHeight w:val="436"/>
          <w:jc w:val="center"/>
        </w:trPr>
        <w:tc>
          <w:tcPr>
            <w:tcW w:w="3915" w:type="dxa"/>
            <w:vAlign w:val="center"/>
          </w:tcPr>
          <w:p w14:paraId="6C54A7E2" w14:textId="77777777" w:rsidR="00AC33E0" w:rsidRPr="00A0165E" w:rsidRDefault="00AC33E0" w:rsidP="00AC33E0">
            <w:pPr>
              <w:tabs>
                <w:tab w:val="left" w:pos="567"/>
                <w:tab w:val="left" w:pos="1134"/>
              </w:tabs>
              <w:spacing w:after="0"/>
              <w:jc w:val="left"/>
              <w:rPr>
                <w:rFonts w:cs="Arial"/>
              </w:rPr>
            </w:pPr>
            <w:r w:rsidRPr="00A0165E">
              <w:rPr>
                <w:rFonts w:cs="Arial"/>
                <w:b/>
              </w:rPr>
              <w:t>Impact on Financial Gap</w:t>
            </w:r>
          </w:p>
        </w:tc>
        <w:tc>
          <w:tcPr>
            <w:tcW w:w="1181" w:type="dxa"/>
            <w:vAlign w:val="center"/>
          </w:tcPr>
          <w:p w14:paraId="06B9809E" w14:textId="77777777" w:rsidR="00AC33E0" w:rsidRPr="00820C04" w:rsidRDefault="00AC33E0" w:rsidP="00AC33E0">
            <w:pPr>
              <w:tabs>
                <w:tab w:val="left" w:pos="567"/>
                <w:tab w:val="left" w:pos="1134"/>
              </w:tabs>
              <w:spacing w:after="0"/>
              <w:jc w:val="right"/>
              <w:rPr>
                <w:rFonts w:cs="Arial"/>
                <w:b/>
              </w:rPr>
            </w:pPr>
            <w:r>
              <w:rPr>
                <w:rFonts w:cs="Arial"/>
                <w:b/>
              </w:rPr>
              <w:t>0.373</w:t>
            </w:r>
          </w:p>
        </w:tc>
        <w:tc>
          <w:tcPr>
            <w:tcW w:w="1182" w:type="dxa"/>
            <w:vAlign w:val="center"/>
          </w:tcPr>
          <w:p w14:paraId="1587D616" w14:textId="42C161C5" w:rsidR="00AC33E0" w:rsidRPr="00820C04" w:rsidRDefault="00AA76FE" w:rsidP="00AC33E0">
            <w:pPr>
              <w:tabs>
                <w:tab w:val="left" w:pos="567"/>
                <w:tab w:val="left" w:pos="1134"/>
              </w:tabs>
              <w:spacing w:after="0"/>
              <w:jc w:val="right"/>
              <w:rPr>
                <w:rFonts w:cs="Arial"/>
                <w:b/>
              </w:rPr>
            </w:pPr>
            <w:r>
              <w:rPr>
                <w:rFonts w:cs="Arial"/>
                <w:b/>
              </w:rPr>
              <w:t>-3.118</w:t>
            </w:r>
          </w:p>
        </w:tc>
        <w:tc>
          <w:tcPr>
            <w:tcW w:w="1182" w:type="dxa"/>
            <w:vAlign w:val="center"/>
          </w:tcPr>
          <w:p w14:paraId="172CD5AC" w14:textId="213E9766" w:rsidR="00AC33E0" w:rsidRPr="00820C04" w:rsidRDefault="00AA76FE" w:rsidP="00AC33E0">
            <w:pPr>
              <w:tabs>
                <w:tab w:val="left" w:pos="567"/>
                <w:tab w:val="left" w:pos="1134"/>
              </w:tabs>
              <w:spacing w:after="0"/>
              <w:jc w:val="right"/>
              <w:rPr>
                <w:rFonts w:cs="Arial"/>
                <w:b/>
              </w:rPr>
            </w:pPr>
            <w:r>
              <w:rPr>
                <w:rFonts w:cs="Arial"/>
                <w:b/>
              </w:rPr>
              <w:t>-0.352</w:t>
            </w:r>
          </w:p>
        </w:tc>
        <w:tc>
          <w:tcPr>
            <w:tcW w:w="1182" w:type="dxa"/>
            <w:vAlign w:val="center"/>
          </w:tcPr>
          <w:p w14:paraId="2E0DEC7F" w14:textId="27537BA5" w:rsidR="00AC33E0" w:rsidRPr="00820C04" w:rsidRDefault="00AA76FE" w:rsidP="00AC33E0">
            <w:pPr>
              <w:tabs>
                <w:tab w:val="left" w:pos="567"/>
                <w:tab w:val="left" w:pos="1134"/>
              </w:tabs>
              <w:spacing w:after="0"/>
              <w:jc w:val="right"/>
              <w:rPr>
                <w:rFonts w:cs="Arial"/>
                <w:b/>
              </w:rPr>
            </w:pPr>
            <w:r>
              <w:rPr>
                <w:rFonts w:cs="Arial"/>
                <w:b/>
              </w:rPr>
              <w:t>-3.097</w:t>
            </w:r>
          </w:p>
        </w:tc>
      </w:tr>
    </w:tbl>
    <w:p w14:paraId="3143E070" w14:textId="77777777" w:rsidR="00AC33E0" w:rsidRPr="009C69DC" w:rsidRDefault="00AC33E0" w:rsidP="00AC33E0">
      <w:pPr>
        <w:spacing w:after="0"/>
        <w:rPr>
          <w:rFonts w:cs="Arial"/>
          <w:highlight w:val="yellow"/>
        </w:rPr>
      </w:pPr>
    </w:p>
    <w:p w14:paraId="140601DB" w14:textId="77777777" w:rsidR="00AC33E0" w:rsidRPr="006A51D2" w:rsidRDefault="00AC33E0" w:rsidP="00AC33E0">
      <w:pPr>
        <w:spacing w:after="0"/>
        <w:rPr>
          <w:rFonts w:cs="Arial"/>
        </w:rPr>
      </w:pPr>
    </w:p>
    <w:p w14:paraId="23A97ADB" w14:textId="77777777" w:rsidR="00AC33E0" w:rsidRDefault="00AC33E0" w:rsidP="00AC33E0">
      <w:pPr>
        <w:tabs>
          <w:tab w:val="left" w:pos="567"/>
          <w:tab w:val="left" w:pos="1134"/>
        </w:tabs>
        <w:spacing w:after="0"/>
        <w:rPr>
          <w:rFonts w:cs="Arial"/>
          <w:highlight w:val="yellow"/>
        </w:rPr>
      </w:pPr>
    </w:p>
    <w:p w14:paraId="3C989685" w14:textId="77777777" w:rsidR="008631EB" w:rsidRPr="009C69DC" w:rsidRDefault="008631EB" w:rsidP="00AC33E0">
      <w:pPr>
        <w:tabs>
          <w:tab w:val="left" w:pos="567"/>
          <w:tab w:val="left" w:pos="1134"/>
        </w:tabs>
        <w:spacing w:after="0"/>
        <w:rPr>
          <w:rFonts w:cs="Arial"/>
          <w:highlight w:val="yellow"/>
        </w:rPr>
      </w:pPr>
    </w:p>
    <w:p w14:paraId="37DAEE6A" w14:textId="77777777" w:rsidR="00AC33E0" w:rsidRPr="009C69DC" w:rsidRDefault="00AC33E0" w:rsidP="00AC33E0">
      <w:pPr>
        <w:tabs>
          <w:tab w:val="left" w:pos="567"/>
          <w:tab w:val="left" w:pos="1134"/>
        </w:tabs>
        <w:spacing w:after="0"/>
        <w:rPr>
          <w:rFonts w:cs="Arial"/>
          <w:b/>
          <w:highlight w:val="yellow"/>
        </w:rPr>
      </w:pPr>
    </w:p>
    <w:p w14:paraId="64F91D97" w14:textId="77777777" w:rsidR="00AC33E0" w:rsidRPr="009C69DC" w:rsidRDefault="00AC33E0" w:rsidP="00AC33E0">
      <w:pPr>
        <w:tabs>
          <w:tab w:val="left" w:pos="567"/>
          <w:tab w:val="left" w:pos="1134"/>
        </w:tabs>
        <w:spacing w:after="0"/>
        <w:rPr>
          <w:rFonts w:cs="Arial"/>
          <w:b/>
          <w:highlight w:val="yellow"/>
        </w:rPr>
      </w:pPr>
    </w:p>
    <w:p w14:paraId="43F115D4" w14:textId="77777777" w:rsidR="00AC33E0" w:rsidRPr="009C69DC" w:rsidRDefault="00AC33E0" w:rsidP="00AC33E0">
      <w:pPr>
        <w:tabs>
          <w:tab w:val="left" w:pos="567"/>
          <w:tab w:val="left" w:pos="1134"/>
        </w:tabs>
        <w:spacing w:after="0"/>
        <w:rPr>
          <w:rFonts w:cs="Arial"/>
          <w:b/>
          <w:highlight w:val="yellow"/>
        </w:rPr>
      </w:pPr>
    </w:p>
    <w:p w14:paraId="12DF360B" w14:textId="77777777" w:rsidR="00AC33E0" w:rsidRPr="009C69DC" w:rsidRDefault="00AC33E0" w:rsidP="00AC33E0">
      <w:pPr>
        <w:tabs>
          <w:tab w:val="left" w:pos="567"/>
          <w:tab w:val="left" w:pos="1134"/>
        </w:tabs>
        <w:spacing w:after="0"/>
        <w:rPr>
          <w:rFonts w:cs="Arial"/>
          <w:b/>
          <w:highlight w:val="yellow"/>
        </w:rPr>
      </w:pPr>
    </w:p>
    <w:p w14:paraId="1828F72D" w14:textId="77777777" w:rsidR="00AC33E0" w:rsidRPr="009C69DC" w:rsidRDefault="00AC33E0" w:rsidP="00AC33E0">
      <w:pPr>
        <w:tabs>
          <w:tab w:val="left" w:pos="567"/>
          <w:tab w:val="left" w:pos="1134"/>
        </w:tabs>
        <w:spacing w:after="0"/>
        <w:rPr>
          <w:rFonts w:cs="Arial"/>
          <w:b/>
          <w:highlight w:val="yellow"/>
        </w:rPr>
      </w:pPr>
    </w:p>
    <w:p w14:paraId="769F2F25" w14:textId="77777777" w:rsidR="00AC33E0" w:rsidRPr="009C69DC" w:rsidRDefault="00AC33E0" w:rsidP="00AC33E0">
      <w:pPr>
        <w:tabs>
          <w:tab w:val="left" w:pos="567"/>
          <w:tab w:val="left" w:pos="1134"/>
        </w:tabs>
        <w:spacing w:after="0"/>
        <w:rPr>
          <w:rFonts w:cs="Arial"/>
          <w:b/>
          <w:highlight w:val="yellow"/>
        </w:rPr>
      </w:pPr>
    </w:p>
    <w:p w14:paraId="53E08850" w14:textId="77777777" w:rsidR="00AC33E0" w:rsidRDefault="00AC33E0" w:rsidP="00AC33E0">
      <w:pPr>
        <w:tabs>
          <w:tab w:val="left" w:pos="567"/>
          <w:tab w:val="left" w:pos="1134"/>
        </w:tabs>
        <w:spacing w:after="0"/>
        <w:rPr>
          <w:rFonts w:cs="Arial"/>
          <w:b/>
          <w:highlight w:val="yellow"/>
        </w:rPr>
      </w:pPr>
    </w:p>
    <w:p w14:paraId="67DA583A" w14:textId="77777777" w:rsidR="00AC33E0" w:rsidRDefault="00AC33E0" w:rsidP="00AC33E0">
      <w:pPr>
        <w:tabs>
          <w:tab w:val="left" w:pos="567"/>
          <w:tab w:val="left" w:pos="1134"/>
        </w:tabs>
        <w:spacing w:after="0"/>
        <w:rPr>
          <w:rFonts w:cs="Arial"/>
          <w:b/>
          <w:highlight w:val="yellow"/>
        </w:rPr>
      </w:pPr>
    </w:p>
    <w:p w14:paraId="295E4300" w14:textId="77777777" w:rsidR="005B099C" w:rsidRDefault="005B099C" w:rsidP="00AC33E0">
      <w:pPr>
        <w:tabs>
          <w:tab w:val="left" w:pos="567"/>
          <w:tab w:val="left" w:pos="1134"/>
        </w:tabs>
        <w:spacing w:after="0"/>
        <w:rPr>
          <w:rFonts w:cs="Arial"/>
          <w:b/>
          <w:highlight w:val="yellow"/>
        </w:rPr>
      </w:pPr>
    </w:p>
    <w:p w14:paraId="203D1365" w14:textId="77777777" w:rsidR="005B099C" w:rsidRDefault="005B099C" w:rsidP="00AC33E0">
      <w:pPr>
        <w:tabs>
          <w:tab w:val="left" w:pos="567"/>
          <w:tab w:val="left" w:pos="1134"/>
        </w:tabs>
        <w:spacing w:after="0"/>
        <w:rPr>
          <w:rFonts w:cs="Arial"/>
          <w:b/>
          <w:highlight w:val="yellow"/>
        </w:rPr>
      </w:pPr>
    </w:p>
    <w:p w14:paraId="47A02B3D" w14:textId="77777777" w:rsidR="00AC33E0" w:rsidRPr="006A51D2" w:rsidRDefault="00AC33E0" w:rsidP="00AC33E0">
      <w:pPr>
        <w:tabs>
          <w:tab w:val="left" w:pos="567"/>
          <w:tab w:val="left" w:pos="1134"/>
        </w:tabs>
        <w:spacing w:after="0"/>
        <w:rPr>
          <w:rFonts w:cs="Arial"/>
          <w:b/>
        </w:rPr>
      </w:pPr>
      <w:r w:rsidRPr="006A51D2">
        <w:rPr>
          <w:rFonts w:cs="Arial"/>
          <w:b/>
        </w:rPr>
        <w:lastRenderedPageBreak/>
        <w:t>3.3</w:t>
      </w:r>
      <w:r w:rsidRPr="006A51D2">
        <w:rPr>
          <w:rFonts w:cs="Arial"/>
          <w:b/>
        </w:rPr>
        <w:tab/>
        <w:t>Demand Pressures</w:t>
      </w:r>
    </w:p>
    <w:p w14:paraId="66A79102" w14:textId="77777777" w:rsidR="00AC33E0" w:rsidRPr="006A51D2" w:rsidRDefault="00AC33E0" w:rsidP="00AC33E0">
      <w:pPr>
        <w:tabs>
          <w:tab w:val="left" w:pos="567"/>
          <w:tab w:val="left" w:pos="1134"/>
        </w:tabs>
        <w:spacing w:after="0"/>
        <w:rPr>
          <w:rFonts w:cs="Arial"/>
          <w:b/>
        </w:rPr>
      </w:pPr>
    </w:p>
    <w:p w14:paraId="4572EF5D" w14:textId="77777777" w:rsidR="00AC33E0" w:rsidRPr="004E729B" w:rsidRDefault="00AC33E0" w:rsidP="00AC33E0">
      <w:pPr>
        <w:tabs>
          <w:tab w:val="left" w:pos="567"/>
          <w:tab w:val="left" w:pos="1134"/>
        </w:tabs>
        <w:spacing w:after="0"/>
        <w:rPr>
          <w:rFonts w:cs="Arial"/>
        </w:rPr>
      </w:pPr>
      <w:r w:rsidRPr="004E729B">
        <w:rPr>
          <w:rFonts w:cs="Arial"/>
        </w:rPr>
        <w:t>All services have reviewed the demand pressures they face in future years and increasing demand still remains a significant element of the funding gap. The MTFS at quarter 1 forecasts increased requirement of £</w:t>
      </w:r>
      <w:r>
        <w:rPr>
          <w:rFonts w:cs="Arial"/>
        </w:rPr>
        <w:t>4.354</w:t>
      </w:r>
      <w:r w:rsidRPr="004E729B">
        <w:rPr>
          <w:rFonts w:cs="Arial"/>
        </w:rPr>
        <w:t xml:space="preserve">m when comparing </w:t>
      </w:r>
      <w:r>
        <w:rPr>
          <w:rFonts w:cs="Arial"/>
        </w:rPr>
        <w:t xml:space="preserve">to the </w:t>
      </w:r>
      <w:r w:rsidRPr="004E729B">
        <w:rPr>
          <w:rFonts w:cs="Arial"/>
        </w:rPr>
        <w:t>previous MTFS</w:t>
      </w:r>
      <w:r>
        <w:rPr>
          <w:rFonts w:cs="Arial"/>
        </w:rPr>
        <w:t>.</w:t>
      </w:r>
    </w:p>
    <w:p w14:paraId="6555A35E" w14:textId="77777777" w:rsidR="00AC33E0" w:rsidRPr="006A51D2" w:rsidRDefault="00AC33E0" w:rsidP="00AC33E0">
      <w:pPr>
        <w:tabs>
          <w:tab w:val="left" w:pos="567"/>
          <w:tab w:val="left" w:pos="1134"/>
        </w:tabs>
        <w:spacing w:after="0"/>
        <w:rPr>
          <w:rFonts w:cs="Arial"/>
          <w:highlight w:val="yellow"/>
        </w:rPr>
      </w:pPr>
    </w:p>
    <w:p w14:paraId="21692C29" w14:textId="77777777" w:rsidR="00AC33E0" w:rsidRPr="009558BB" w:rsidRDefault="00AC33E0" w:rsidP="00AC33E0">
      <w:pPr>
        <w:tabs>
          <w:tab w:val="left" w:pos="567"/>
          <w:tab w:val="left" w:pos="1134"/>
        </w:tabs>
        <w:spacing w:after="0"/>
        <w:rPr>
          <w:rFonts w:cs="Arial"/>
          <w:b/>
          <w:i/>
          <w:u w:val="single"/>
        </w:rPr>
      </w:pPr>
      <w:r w:rsidRPr="009558BB">
        <w:rPr>
          <w:rFonts w:cs="Arial"/>
          <w:b/>
          <w:i/>
          <w:u w:val="single"/>
        </w:rPr>
        <w:t>Table 6</w:t>
      </w:r>
    </w:p>
    <w:p w14:paraId="5ACFE0A8" w14:textId="77777777" w:rsidR="00AC33E0" w:rsidRPr="009558BB" w:rsidRDefault="00AC33E0" w:rsidP="00AC33E0">
      <w:pPr>
        <w:tabs>
          <w:tab w:val="left" w:pos="567"/>
          <w:tab w:val="left" w:pos="1134"/>
        </w:tabs>
        <w:spacing w:after="0"/>
        <w:rPr>
          <w:rFonts w:cs="Arial"/>
        </w:rPr>
      </w:pPr>
    </w:p>
    <w:tbl>
      <w:tblPr>
        <w:tblStyle w:val="TableGrid"/>
        <w:tblW w:w="8505" w:type="dxa"/>
        <w:jc w:val="center"/>
        <w:tblLook w:val="04A0" w:firstRow="1" w:lastRow="0" w:firstColumn="1" w:lastColumn="0" w:noHBand="0" w:noVBand="1"/>
      </w:tblPr>
      <w:tblGrid>
        <w:gridCol w:w="3823"/>
        <w:gridCol w:w="1170"/>
        <w:gridCol w:w="1171"/>
        <w:gridCol w:w="1170"/>
        <w:gridCol w:w="1171"/>
      </w:tblGrid>
      <w:tr w:rsidR="0093099B" w14:paraId="4BD444BB" w14:textId="77777777" w:rsidTr="00AC33E0">
        <w:trPr>
          <w:trHeight w:val="684"/>
          <w:jc w:val="center"/>
        </w:trPr>
        <w:tc>
          <w:tcPr>
            <w:tcW w:w="3823" w:type="dxa"/>
            <w:shd w:val="clear" w:color="auto" w:fill="BFBFBF" w:themeFill="background1" w:themeFillShade="BF"/>
          </w:tcPr>
          <w:p w14:paraId="73EA7CF9" w14:textId="77777777" w:rsidR="00AC33E0" w:rsidRPr="009558BB" w:rsidRDefault="00AC33E0" w:rsidP="00AC33E0">
            <w:pPr>
              <w:tabs>
                <w:tab w:val="left" w:pos="567"/>
                <w:tab w:val="left" w:pos="1134"/>
              </w:tabs>
              <w:spacing w:after="0"/>
              <w:rPr>
                <w:rFonts w:cs="Arial"/>
              </w:rPr>
            </w:pPr>
          </w:p>
        </w:tc>
        <w:tc>
          <w:tcPr>
            <w:tcW w:w="1170" w:type="dxa"/>
            <w:shd w:val="clear" w:color="auto" w:fill="BFBFBF" w:themeFill="background1" w:themeFillShade="BF"/>
            <w:vAlign w:val="center"/>
          </w:tcPr>
          <w:p w14:paraId="05C94489" w14:textId="77777777" w:rsidR="00AC33E0" w:rsidRPr="009558BB" w:rsidRDefault="00AC33E0" w:rsidP="00AC33E0">
            <w:pPr>
              <w:tabs>
                <w:tab w:val="left" w:pos="567"/>
                <w:tab w:val="left" w:pos="1134"/>
              </w:tabs>
              <w:spacing w:after="0"/>
              <w:jc w:val="center"/>
              <w:rPr>
                <w:rFonts w:cs="Arial"/>
                <w:b/>
              </w:rPr>
            </w:pPr>
            <w:r w:rsidRPr="009558BB">
              <w:rPr>
                <w:rFonts w:cs="Arial"/>
                <w:b/>
              </w:rPr>
              <w:t>2020/21</w:t>
            </w:r>
          </w:p>
          <w:p w14:paraId="1556FACA" w14:textId="77777777" w:rsidR="00AC33E0" w:rsidRPr="009558BB" w:rsidRDefault="00AC33E0" w:rsidP="00AC33E0">
            <w:pPr>
              <w:tabs>
                <w:tab w:val="left" w:pos="567"/>
                <w:tab w:val="left" w:pos="1134"/>
              </w:tabs>
              <w:spacing w:after="0"/>
              <w:jc w:val="center"/>
              <w:rPr>
                <w:rFonts w:cs="Arial"/>
                <w:b/>
              </w:rPr>
            </w:pPr>
            <w:r w:rsidRPr="009558BB">
              <w:rPr>
                <w:rFonts w:cs="Arial"/>
                <w:b/>
              </w:rPr>
              <w:t>£m</w:t>
            </w:r>
          </w:p>
        </w:tc>
        <w:tc>
          <w:tcPr>
            <w:tcW w:w="1171" w:type="dxa"/>
            <w:shd w:val="clear" w:color="auto" w:fill="BFBFBF" w:themeFill="background1" w:themeFillShade="BF"/>
            <w:vAlign w:val="center"/>
          </w:tcPr>
          <w:p w14:paraId="44DFC1A4" w14:textId="77777777" w:rsidR="00AC33E0" w:rsidRPr="009558BB" w:rsidRDefault="00AC33E0" w:rsidP="00AC33E0">
            <w:pPr>
              <w:tabs>
                <w:tab w:val="left" w:pos="567"/>
                <w:tab w:val="left" w:pos="1134"/>
              </w:tabs>
              <w:spacing w:after="0"/>
              <w:jc w:val="center"/>
              <w:rPr>
                <w:rFonts w:cs="Arial"/>
                <w:b/>
              </w:rPr>
            </w:pPr>
            <w:r w:rsidRPr="009558BB">
              <w:rPr>
                <w:rFonts w:cs="Arial"/>
                <w:b/>
              </w:rPr>
              <w:t>2021/22</w:t>
            </w:r>
          </w:p>
          <w:p w14:paraId="57149B80" w14:textId="77777777" w:rsidR="00AC33E0" w:rsidRPr="009558BB" w:rsidRDefault="00AC33E0" w:rsidP="00AC33E0">
            <w:pPr>
              <w:tabs>
                <w:tab w:val="left" w:pos="567"/>
                <w:tab w:val="left" w:pos="1134"/>
              </w:tabs>
              <w:spacing w:after="0"/>
              <w:jc w:val="center"/>
              <w:rPr>
                <w:rFonts w:cs="Arial"/>
                <w:b/>
              </w:rPr>
            </w:pPr>
            <w:r w:rsidRPr="009558BB">
              <w:rPr>
                <w:rFonts w:cs="Arial"/>
                <w:b/>
              </w:rPr>
              <w:t>£m</w:t>
            </w:r>
          </w:p>
        </w:tc>
        <w:tc>
          <w:tcPr>
            <w:tcW w:w="1170" w:type="dxa"/>
            <w:shd w:val="clear" w:color="auto" w:fill="BFBFBF" w:themeFill="background1" w:themeFillShade="BF"/>
            <w:vAlign w:val="center"/>
          </w:tcPr>
          <w:p w14:paraId="4C9E5F0E" w14:textId="77777777" w:rsidR="00AC33E0" w:rsidRPr="009558BB" w:rsidRDefault="00AC33E0" w:rsidP="00AC33E0">
            <w:pPr>
              <w:tabs>
                <w:tab w:val="left" w:pos="567"/>
                <w:tab w:val="left" w:pos="1134"/>
              </w:tabs>
              <w:spacing w:after="0"/>
              <w:jc w:val="center"/>
              <w:rPr>
                <w:rFonts w:cs="Arial"/>
                <w:b/>
              </w:rPr>
            </w:pPr>
            <w:r w:rsidRPr="009558BB">
              <w:rPr>
                <w:rFonts w:cs="Arial"/>
                <w:b/>
              </w:rPr>
              <w:t>2022/23</w:t>
            </w:r>
          </w:p>
          <w:p w14:paraId="72B188F4" w14:textId="77777777" w:rsidR="00AC33E0" w:rsidRPr="009558BB" w:rsidRDefault="00AC33E0" w:rsidP="00AC33E0">
            <w:pPr>
              <w:tabs>
                <w:tab w:val="left" w:pos="567"/>
                <w:tab w:val="left" w:pos="1134"/>
              </w:tabs>
              <w:spacing w:after="0"/>
              <w:jc w:val="center"/>
              <w:rPr>
                <w:rFonts w:cs="Arial"/>
                <w:b/>
              </w:rPr>
            </w:pPr>
            <w:r w:rsidRPr="009558BB">
              <w:rPr>
                <w:rFonts w:cs="Arial"/>
                <w:b/>
              </w:rPr>
              <w:t>£m</w:t>
            </w:r>
          </w:p>
        </w:tc>
        <w:tc>
          <w:tcPr>
            <w:tcW w:w="1171" w:type="dxa"/>
            <w:shd w:val="clear" w:color="auto" w:fill="BFBFBF" w:themeFill="background1" w:themeFillShade="BF"/>
            <w:vAlign w:val="center"/>
          </w:tcPr>
          <w:p w14:paraId="1FDFF5EC" w14:textId="77777777" w:rsidR="00AC33E0" w:rsidRPr="009558BB" w:rsidRDefault="00AC33E0" w:rsidP="00AC33E0">
            <w:pPr>
              <w:tabs>
                <w:tab w:val="left" w:pos="567"/>
                <w:tab w:val="left" w:pos="1134"/>
              </w:tabs>
              <w:spacing w:after="0"/>
              <w:jc w:val="center"/>
              <w:rPr>
                <w:rFonts w:cs="Arial"/>
                <w:b/>
              </w:rPr>
            </w:pPr>
            <w:r w:rsidRPr="009558BB">
              <w:rPr>
                <w:rFonts w:cs="Arial"/>
                <w:b/>
              </w:rPr>
              <w:t>Total</w:t>
            </w:r>
          </w:p>
          <w:p w14:paraId="6DEA2D2F" w14:textId="77777777" w:rsidR="00AC33E0" w:rsidRPr="009558BB" w:rsidRDefault="00AC33E0" w:rsidP="00AC33E0">
            <w:pPr>
              <w:tabs>
                <w:tab w:val="left" w:pos="567"/>
                <w:tab w:val="left" w:pos="1134"/>
              </w:tabs>
              <w:spacing w:after="0"/>
              <w:jc w:val="center"/>
              <w:rPr>
                <w:rFonts w:cs="Arial"/>
                <w:b/>
              </w:rPr>
            </w:pPr>
            <w:r w:rsidRPr="009558BB">
              <w:rPr>
                <w:rFonts w:cs="Arial"/>
                <w:b/>
              </w:rPr>
              <w:t>£m</w:t>
            </w:r>
          </w:p>
        </w:tc>
      </w:tr>
      <w:tr w:rsidR="0093099B" w14:paraId="799A080A" w14:textId="77777777" w:rsidTr="00AC33E0">
        <w:trPr>
          <w:trHeight w:val="684"/>
          <w:jc w:val="center"/>
        </w:trPr>
        <w:tc>
          <w:tcPr>
            <w:tcW w:w="3823" w:type="dxa"/>
            <w:vAlign w:val="center"/>
          </w:tcPr>
          <w:p w14:paraId="295DA010" w14:textId="77777777" w:rsidR="00AC33E0" w:rsidRPr="009558BB" w:rsidRDefault="00AC33E0" w:rsidP="00AC33E0">
            <w:pPr>
              <w:tabs>
                <w:tab w:val="left" w:pos="567"/>
                <w:tab w:val="left" w:pos="1134"/>
              </w:tabs>
              <w:spacing w:after="0"/>
              <w:jc w:val="left"/>
              <w:rPr>
                <w:rFonts w:cs="Arial"/>
              </w:rPr>
            </w:pPr>
            <w:r w:rsidRPr="009558BB">
              <w:rPr>
                <w:rFonts w:cs="Arial"/>
              </w:rPr>
              <w:t>Adults Services</w:t>
            </w:r>
          </w:p>
        </w:tc>
        <w:tc>
          <w:tcPr>
            <w:tcW w:w="1170" w:type="dxa"/>
            <w:tcBorders>
              <w:top w:val="nil"/>
              <w:left w:val="nil"/>
              <w:bottom w:val="single" w:sz="4" w:space="0" w:color="auto"/>
              <w:right w:val="single" w:sz="4" w:space="0" w:color="auto"/>
            </w:tcBorders>
            <w:shd w:val="clear" w:color="auto" w:fill="auto"/>
            <w:vAlign w:val="center"/>
          </w:tcPr>
          <w:p w14:paraId="07D24F65" w14:textId="77777777" w:rsidR="00AC33E0" w:rsidRPr="009558BB" w:rsidRDefault="00AC33E0" w:rsidP="00AC33E0">
            <w:pPr>
              <w:tabs>
                <w:tab w:val="left" w:pos="567"/>
                <w:tab w:val="left" w:pos="1134"/>
              </w:tabs>
              <w:spacing w:after="0"/>
              <w:jc w:val="right"/>
              <w:rPr>
                <w:rFonts w:cs="Arial"/>
              </w:rPr>
            </w:pPr>
            <w:r w:rsidRPr="009558BB">
              <w:rPr>
                <w:rFonts w:cs="Arial"/>
              </w:rPr>
              <w:t>16.585</w:t>
            </w:r>
          </w:p>
        </w:tc>
        <w:tc>
          <w:tcPr>
            <w:tcW w:w="1171" w:type="dxa"/>
            <w:tcBorders>
              <w:top w:val="nil"/>
              <w:left w:val="single" w:sz="4" w:space="0" w:color="auto"/>
              <w:bottom w:val="single" w:sz="4" w:space="0" w:color="auto"/>
              <w:right w:val="single" w:sz="4" w:space="0" w:color="auto"/>
            </w:tcBorders>
            <w:shd w:val="clear" w:color="auto" w:fill="auto"/>
            <w:vAlign w:val="center"/>
          </w:tcPr>
          <w:p w14:paraId="2A3C9768" w14:textId="77777777" w:rsidR="00AC33E0" w:rsidRPr="009558BB" w:rsidRDefault="00AC33E0" w:rsidP="00AC33E0">
            <w:pPr>
              <w:tabs>
                <w:tab w:val="left" w:pos="567"/>
                <w:tab w:val="left" w:pos="1134"/>
              </w:tabs>
              <w:spacing w:after="0"/>
              <w:jc w:val="right"/>
              <w:rPr>
                <w:rFonts w:cs="Arial"/>
              </w:rPr>
            </w:pPr>
            <w:r w:rsidRPr="009558BB">
              <w:rPr>
                <w:rFonts w:cs="Arial"/>
              </w:rPr>
              <w:t>9.473</w:t>
            </w:r>
          </w:p>
        </w:tc>
        <w:tc>
          <w:tcPr>
            <w:tcW w:w="1170" w:type="dxa"/>
            <w:tcBorders>
              <w:top w:val="nil"/>
              <w:left w:val="single" w:sz="4" w:space="0" w:color="auto"/>
              <w:bottom w:val="single" w:sz="4" w:space="0" w:color="auto"/>
              <w:right w:val="single" w:sz="4" w:space="0" w:color="auto"/>
            </w:tcBorders>
            <w:shd w:val="clear" w:color="auto" w:fill="auto"/>
            <w:vAlign w:val="center"/>
          </w:tcPr>
          <w:p w14:paraId="71892FB8" w14:textId="77777777" w:rsidR="00AC33E0" w:rsidRPr="009558BB" w:rsidRDefault="00AC33E0" w:rsidP="00AC33E0">
            <w:pPr>
              <w:tabs>
                <w:tab w:val="left" w:pos="567"/>
                <w:tab w:val="left" w:pos="1134"/>
              </w:tabs>
              <w:spacing w:after="0"/>
              <w:jc w:val="right"/>
              <w:rPr>
                <w:rFonts w:cs="Arial"/>
              </w:rPr>
            </w:pPr>
            <w:r w:rsidRPr="009558BB">
              <w:rPr>
                <w:rFonts w:cs="Arial"/>
              </w:rPr>
              <w:t>10.163</w:t>
            </w:r>
          </w:p>
        </w:tc>
        <w:tc>
          <w:tcPr>
            <w:tcW w:w="1171" w:type="dxa"/>
            <w:tcBorders>
              <w:top w:val="nil"/>
              <w:left w:val="single" w:sz="4" w:space="0" w:color="auto"/>
              <w:bottom w:val="single" w:sz="4" w:space="0" w:color="auto"/>
              <w:right w:val="single" w:sz="4" w:space="0" w:color="auto"/>
            </w:tcBorders>
            <w:shd w:val="clear" w:color="auto" w:fill="auto"/>
            <w:vAlign w:val="center"/>
          </w:tcPr>
          <w:p w14:paraId="36F895DD" w14:textId="77777777" w:rsidR="00AC33E0" w:rsidRPr="009558BB" w:rsidRDefault="00AC33E0" w:rsidP="00AC33E0">
            <w:pPr>
              <w:tabs>
                <w:tab w:val="left" w:pos="567"/>
                <w:tab w:val="left" w:pos="1134"/>
              </w:tabs>
              <w:spacing w:after="0"/>
              <w:jc w:val="right"/>
              <w:rPr>
                <w:rFonts w:cs="Arial"/>
                <w:b/>
              </w:rPr>
            </w:pPr>
            <w:r>
              <w:rPr>
                <w:rFonts w:cs="Arial"/>
                <w:b/>
              </w:rPr>
              <w:t>36.221</w:t>
            </w:r>
          </w:p>
        </w:tc>
      </w:tr>
      <w:tr w:rsidR="0093099B" w14:paraId="3CB007E5" w14:textId="77777777" w:rsidTr="00AC33E0">
        <w:trPr>
          <w:trHeight w:val="684"/>
          <w:jc w:val="center"/>
        </w:trPr>
        <w:tc>
          <w:tcPr>
            <w:tcW w:w="3823" w:type="dxa"/>
            <w:vAlign w:val="center"/>
          </w:tcPr>
          <w:p w14:paraId="25334FC9" w14:textId="77777777" w:rsidR="00AC33E0" w:rsidRPr="009558BB" w:rsidRDefault="00AC33E0" w:rsidP="00AC33E0">
            <w:pPr>
              <w:tabs>
                <w:tab w:val="left" w:pos="567"/>
                <w:tab w:val="left" w:pos="1134"/>
              </w:tabs>
              <w:spacing w:after="0"/>
              <w:jc w:val="left"/>
              <w:rPr>
                <w:rFonts w:cs="Arial"/>
              </w:rPr>
            </w:pPr>
            <w:r w:rsidRPr="009558BB">
              <w:rPr>
                <w:rFonts w:cs="Arial"/>
              </w:rPr>
              <w:t>Children's Services</w:t>
            </w:r>
          </w:p>
        </w:tc>
        <w:tc>
          <w:tcPr>
            <w:tcW w:w="1170" w:type="dxa"/>
            <w:tcBorders>
              <w:top w:val="nil"/>
              <w:left w:val="nil"/>
              <w:bottom w:val="single" w:sz="4" w:space="0" w:color="auto"/>
              <w:right w:val="single" w:sz="4" w:space="0" w:color="auto"/>
            </w:tcBorders>
            <w:shd w:val="clear" w:color="auto" w:fill="auto"/>
            <w:vAlign w:val="center"/>
          </w:tcPr>
          <w:p w14:paraId="3C889814" w14:textId="77777777" w:rsidR="00AC33E0" w:rsidRPr="009558BB" w:rsidRDefault="00AC33E0" w:rsidP="00AC33E0">
            <w:pPr>
              <w:tabs>
                <w:tab w:val="left" w:pos="567"/>
                <w:tab w:val="left" w:pos="1134"/>
              </w:tabs>
              <w:spacing w:after="0"/>
              <w:jc w:val="right"/>
              <w:rPr>
                <w:rFonts w:cs="Arial"/>
              </w:rPr>
            </w:pPr>
            <w:r w:rsidRPr="009558BB">
              <w:rPr>
                <w:rFonts w:cs="Arial"/>
              </w:rPr>
              <w:t>5.454</w:t>
            </w:r>
          </w:p>
        </w:tc>
        <w:tc>
          <w:tcPr>
            <w:tcW w:w="1171" w:type="dxa"/>
            <w:tcBorders>
              <w:top w:val="nil"/>
              <w:left w:val="single" w:sz="4" w:space="0" w:color="auto"/>
              <w:bottom w:val="single" w:sz="4" w:space="0" w:color="auto"/>
              <w:right w:val="single" w:sz="4" w:space="0" w:color="auto"/>
            </w:tcBorders>
            <w:shd w:val="clear" w:color="auto" w:fill="auto"/>
            <w:vAlign w:val="center"/>
          </w:tcPr>
          <w:p w14:paraId="5F3F0ABC" w14:textId="77777777" w:rsidR="00AC33E0" w:rsidRPr="009558BB" w:rsidRDefault="00AC33E0" w:rsidP="00AC33E0">
            <w:pPr>
              <w:tabs>
                <w:tab w:val="left" w:pos="567"/>
                <w:tab w:val="left" w:pos="1134"/>
              </w:tabs>
              <w:spacing w:after="0"/>
              <w:jc w:val="right"/>
              <w:rPr>
                <w:rFonts w:cs="Arial"/>
              </w:rPr>
            </w:pPr>
            <w:r w:rsidRPr="009558BB">
              <w:rPr>
                <w:rFonts w:cs="Arial"/>
              </w:rPr>
              <w:t>2.029</w:t>
            </w:r>
          </w:p>
        </w:tc>
        <w:tc>
          <w:tcPr>
            <w:tcW w:w="1170" w:type="dxa"/>
            <w:tcBorders>
              <w:top w:val="nil"/>
              <w:left w:val="single" w:sz="4" w:space="0" w:color="auto"/>
              <w:bottom w:val="single" w:sz="4" w:space="0" w:color="auto"/>
              <w:right w:val="single" w:sz="4" w:space="0" w:color="auto"/>
            </w:tcBorders>
            <w:shd w:val="clear" w:color="auto" w:fill="auto"/>
            <w:vAlign w:val="center"/>
          </w:tcPr>
          <w:p w14:paraId="108BB57A" w14:textId="77777777" w:rsidR="00AC33E0" w:rsidRPr="009558BB" w:rsidRDefault="00AC33E0" w:rsidP="00AC33E0">
            <w:pPr>
              <w:tabs>
                <w:tab w:val="left" w:pos="567"/>
                <w:tab w:val="left" w:pos="1134"/>
              </w:tabs>
              <w:spacing w:after="0"/>
              <w:jc w:val="right"/>
              <w:rPr>
                <w:rFonts w:cs="Arial"/>
              </w:rPr>
            </w:pPr>
            <w:r w:rsidRPr="009558BB">
              <w:rPr>
                <w:rFonts w:cs="Arial"/>
              </w:rPr>
              <w:t>1.588</w:t>
            </w:r>
          </w:p>
        </w:tc>
        <w:tc>
          <w:tcPr>
            <w:tcW w:w="1171" w:type="dxa"/>
            <w:tcBorders>
              <w:top w:val="nil"/>
              <w:left w:val="single" w:sz="4" w:space="0" w:color="auto"/>
              <w:bottom w:val="single" w:sz="4" w:space="0" w:color="auto"/>
              <w:right w:val="single" w:sz="4" w:space="0" w:color="auto"/>
            </w:tcBorders>
            <w:shd w:val="clear" w:color="auto" w:fill="auto"/>
            <w:vAlign w:val="center"/>
          </w:tcPr>
          <w:p w14:paraId="5ABDC15E" w14:textId="77777777" w:rsidR="00AC33E0" w:rsidRPr="009558BB" w:rsidRDefault="00AC33E0" w:rsidP="00AC33E0">
            <w:pPr>
              <w:tabs>
                <w:tab w:val="left" w:pos="567"/>
                <w:tab w:val="left" w:pos="1134"/>
              </w:tabs>
              <w:spacing w:after="0"/>
              <w:jc w:val="right"/>
              <w:rPr>
                <w:rFonts w:cs="Arial"/>
                <w:b/>
              </w:rPr>
            </w:pPr>
            <w:r>
              <w:rPr>
                <w:rFonts w:cs="Arial"/>
                <w:b/>
              </w:rPr>
              <w:t>9.071</w:t>
            </w:r>
          </w:p>
        </w:tc>
      </w:tr>
      <w:tr w:rsidR="0093099B" w14:paraId="4D7FD273" w14:textId="77777777" w:rsidTr="00AC33E0">
        <w:trPr>
          <w:trHeight w:val="684"/>
          <w:jc w:val="center"/>
        </w:trPr>
        <w:tc>
          <w:tcPr>
            <w:tcW w:w="3823" w:type="dxa"/>
            <w:vAlign w:val="center"/>
          </w:tcPr>
          <w:p w14:paraId="482BA060" w14:textId="77777777" w:rsidR="00AC33E0" w:rsidRPr="009558BB" w:rsidRDefault="00AC33E0" w:rsidP="00AC33E0">
            <w:pPr>
              <w:tabs>
                <w:tab w:val="left" w:pos="567"/>
                <w:tab w:val="left" w:pos="1134"/>
              </w:tabs>
              <w:spacing w:after="0"/>
              <w:jc w:val="left"/>
              <w:rPr>
                <w:rFonts w:cs="Arial"/>
              </w:rPr>
            </w:pPr>
            <w:r w:rsidRPr="009558BB">
              <w:rPr>
                <w:rFonts w:cs="Arial"/>
              </w:rPr>
              <w:t>Waste Services</w:t>
            </w:r>
          </w:p>
        </w:tc>
        <w:tc>
          <w:tcPr>
            <w:tcW w:w="1170" w:type="dxa"/>
            <w:tcBorders>
              <w:top w:val="single" w:sz="4" w:space="0" w:color="auto"/>
              <w:left w:val="nil"/>
              <w:bottom w:val="single" w:sz="4" w:space="0" w:color="auto"/>
              <w:right w:val="single" w:sz="4" w:space="0" w:color="auto"/>
            </w:tcBorders>
            <w:shd w:val="clear" w:color="auto" w:fill="auto"/>
            <w:vAlign w:val="center"/>
          </w:tcPr>
          <w:p w14:paraId="4CB467F4" w14:textId="77777777" w:rsidR="00AC33E0" w:rsidRPr="009558BB" w:rsidRDefault="00AC33E0" w:rsidP="00AC33E0">
            <w:pPr>
              <w:tabs>
                <w:tab w:val="left" w:pos="567"/>
                <w:tab w:val="left" w:pos="1134"/>
              </w:tabs>
              <w:spacing w:after="0"/>
              <w:jc w:val="right"/>
              <w:rPr>
                <w:rFonts w:cs="Arial"/>
              </w:rPr>
            </w:pPr>
            <w:r w:rsidRPr="009558BB">
              <w:rPr>
                <w:rFonts w:cs="Arial"/>
              </w:rPr>
              <w:t>0.471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004D6C1" w14:textId="77777777" w:rsidR="00AC33E0" w:rsidRPr="009558BB" w:rsidRDefault="00AC33E0" w:rsidP="00AC33E0">
            <w:pPr>
              <w:tabs>
                <w:tab w:val="left" w:pos="567"/>
                <w:tab w:val="left" w:pos="1134"/>
              </w:tabs>
              <w:spacing w:after="0"/>
              <w:jc w:val="right"/>
              <w:rPr>
                <w:rFonts w:cs="Arial"/>
              </w:rPr>
            </w:pPr>
            <w:r w:rsidRPr="009558BB">
              <w:rPr>
                <w:rFonts w:cs="Arial"/>
              </w:rPr>
              <w:t>0.983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F7F29" w14:textId="77777777" w:rsidR="00AC33E0" w:rsidRPr="009558BB" w:rsidRDefault="00AC33E0" w:rsidP="00AC33E0">
            <w:pPr>
              <w:tabs>
                <w:tab w:val="left" w:pos="567"/>
                <w:tab w:val="left" w:pos="1134"/>
              </w:tabs>
              <w:spacing w:after="0"/>
              <w:jc w:val="right"/>
              <w:rPr>
                <w:rFonts w:cs="Arial"/>
              </w:rPr>
            </w:pPr>
            <w:r w:rsidRPr="009558BB">
              <w:rPr>
                <w:rFonts w:cs="Arial"/>
              </w:rPr>
              <w:t>1.048</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BAE0197" w14:textId="77777777" w:rsidR="00AC33E0" w:rsidRPr="009558BB" w:rsidRDefault="00AC33E0" w:rsidP="00AC33E0">
            <w:pPr>
              <w:tabs>
                <w:tab w:val="left" w:pos="567"/>
                <w:tab w:val="left" w:pos="1134"/>
              </w:tabs>
              <w:spacing w:after="0"/>
              <w:jc w:val="right"/>
              <w:rPr>
                <w:rFonts w:cs="Arial"/>
                <w:b/>
              </w:rPr>
            </w:pPr>
            <w:r>
              <w:rPr>
                <w:rFonts w:cs="Arial"/>
                <w:b/>
              </w:rPr>
              <w:t>2.502</w:t>
            </w:r>
          </w:p>
        </w:tc>
      </w:tr>
      <w:tr w:rsidR="0093099B" w14:paraId="5C600DB0" w14:textId="77777777" w:rsidTr="00AC33E0">
        <w:trPr>
          <w:trHeight w:val="684"/>
          <w:jc w:val="center"/>
        </w:trPr>
        <w:tc>
          <w:tcPr>
            <w:tcW w:w="3823" w:type="dxa"/>
            <w:vAlign w:val="center"/>
          </w:tcPr>
          <w:p w14:paraId="3BB96264" w14:textId="77777777" w:rsidR="00AC33E0" w:rsidRPr="009558BB" w:rsidRDefault="00AC33E0" w:rsidP="00AC33E0">
            <w:pPr>
              <w:tabs>
                <w:tab w:val="left" w:pos="567"/>
                <w:tab w:val="left" w:pos="1134"/>
              </w:tabs>
              <w:spacing w:after="0"/>
              <w:jc w:val="left"/>
              <w:rPr>
                <w:rFonts w:cs="Arial"/>
              </w:rPr>
            </w:pPr>
            <w:r w:rsidRPr="009558BB">
              <w:rPr>
                <w:rFonts w:cs="Arial"/>
              </w:rPr>
              <w:t>Transport Services</w:t>
            </w:r>
          </w:p>
        </w:tc>
        <w:tc>
          <w:tcPr>
            <w:tcW w:w="1170" w:type="dxa"/>
            <w:tcBorders>
              <w:top w:val="single" w:sz="4" w:space="0" w:color="auto"/>
              <w:left w:val="nil"/>
              <w:bottom w:val="nil"/>
              <w:right w:val="single" w:sz="4" w:space="0" w:color="auto"/>
            </w:tcBorders>
            <w:shd w:val="clear" w:color="auto" w:fill="auto"/>
            <w:vAlign w:val="center"/>
          </w:tcPr>
          <w:p w14:paraId="52005D49" w14:textId="77777777" w:rsidR="00AC33E0" w:rsidRPr="009558BB" w:rsidRDefault="00AC33E0" w:rsidP="00AC33E0">
            <w:pPr>
              <w:tabs>
                <w:tab w:val="left" w:pos="567"/>
                <w:tab w:val="left" w:pos="1134"/>
              </w:tabs>
              <w:spacing w:after="0"/>
              <w:jc w:val="right"/>
              <w:rPr>
                <w:rFonts w:cs="Arial"/>
              </w:rPr>
            </w:pPr>
            <w:r w:rsidRPr="009558BB">
              <w:rPr>
                <w:rFonts w:cs="Arial"/>
              </w:rPr>
              <w:t>0.982</w:t>
            </w:r>
          </w:p>
        </w:tc>
        <w:tc>
          <w:tcPr>
            <w:tcW w:w="1171" w:type="dxa"/>
            <w:tcBorders>
              <w:top w:val="single" w:sz="4" w:space="0" w:color="auto"/>
              <w:left w:val="single" w:sz="4" w:space="0" w:color="auto"/>
              <w:bottom w:val="nil"/>
              <w:right w:val="single" w:sz="4" w:space="0" w:color="auto"/>
            </w:tcBorders>
            <w:shd w:val="clear" w:color="auto" w:fill="auto"/>
            <w:vAlign w:val="center"/>
          </w:tcPr>
          <w:p w14:paraId="730793E1" w14:textId="77777777" w:rsidR="00AC33E0" w:rsidRPr="009558BB" w:rsidRDefault="00AC33E0" w:rsidP="00AC33E0">
            <w:pPr>
              <w:tabs>
                <w:tab w:val="left" w:pos="567"/>
                <w:tab w:val="left" w:pos="1134"/>
              </w:tabs>
              <w:spacing w:after="0"/>
              <w:jc w:val="right"/>
              <w:rPr>
                <w:rFonts w:cs="Arial"/>
              </w:rPr>
            </w:pPr>
            <w:r w:rsidRPr="009558BB">
              <w:rPr>
                <w:rFonts w:cs="Arial"/>
              </w:rPr>
              <w:t>0.907</w:t>
            </w:r>
          </w:p>
        </w:tc>
        <w:tc>
          <w:tcPr>
            <w:tcW w:w="1170" w:type="dxa"/>
            <w:tcBorders>
              <w:top w:val="single" w:sz="4" w:space="0" w:color="auto"/>
              <w:left w:val="single" w:sz="4" w:space="0" w:color="auto"/>
              <w:bottom w:val="nil"/>
              <w:right w:val="single" w:sz="4" w:space="0" w:color="auto"/>
            </w:tcBorders>
            <w:shd w:val="clear" w:color="auto" w:fill="auto"/>
            <w:vAlign w:val="center"/>
          </w:tcPr>
          <w:p w14:paraId="04C12131" w14:textId="77777777" w:rsidR="00AC33E0" w:rsidRPr="009558BB" w:rsidRDefault="00AC33E0" w:rsidP="00AC33E0">
            <w:pPr>
              <w:tabs>
                <w:tab w:val="left" w:pos="567"/>
                <w:tab w:val="left" w:pos="1134"/>
              </w:tabs>
              <w:spacing w:after="0"/>
              <w:jc w:val="right"/>
              <w:rPr>
                <w:rFonts w:cs="Arial"/>
              </w:rPr>
            </w:pPr>
            <w:r w:rsidRPr="009558BB">
              <w:rPr>
                <w:rFonts w:cs="Arial"/>
              </w:rPr>
              <w:t>0.606</w:t>
            </w:r>
          </w:p>
        </w:tc>
        <w:tc>
          <w:tcPr>
            <w:tcW w:w="1171" w:type="dxa"/>
            <w:tcBorders>
              <w:top w:val="single" w:sz="4" w:space="0" w:color="auto"/>
              <w:left w:val="single" w:sz="4" w:space="0" w:color="auto"/>
              <w:bottom w:val="nil"/>
              <w:right w:val="single" w:sz="4" w:space="0" w:color="auto"/>
            </w:tcBorders>
            <w:shd w:val="clear" w:color="auto" w:fill="auto"/>
            <w:vAlign w:val="center"/>
          </w:tcPr>
          <w:p w14:paraId="0023116C" w14:textId="77777777" w:rsidR="00AC33E0" w:rsidRPr="009558BB" w:rsidRDefault="00AC33E0" w:rsidP="00AC33E0">
            <w:pPr>
              <w:tabs>
                <w:tab w:val="left" w:pos="567"/>
                <w:tab w:val="left" w:pos="1134"/>
              </w:tabs>
              <w:spacing w:after="0"/>
              <w:jc w:val="right"/>
              <w:rPr>
                <w:rFonts w:cs="Arial"/>
                <w:b/>
              </w:rPr>
            </w:pPr>
            <w:r>
              <w:rPr>
                <w:rFonts w:cs="Arial"/>
                <w:b/>
              </w:rPr>
              <w:t>2.495</w:t>
            </w:r>
          </w:p>
        </w:tc>
      </w:tr>
      <w:tr w:rsidR="0093099B" w14:paraId="61D6BDFE" w14:textId="77777777" w:rsidTr="00AC33E0">
        <w:trPr>
          <w:trHeight w:val="684"/>
          <w:jc w:val="center"/>
        </w:trPr>
        <w:tc>
          <w:tcPr>
            <w:tcW w:w="3823" w:type="dxa"/>
            <w:vAlign w:val="center"/>
          </w:tcPr>
          <w:p w14:paraId="6BF9EE48" w14:textId="77777777" w:rsidR="00AC33E0" w:rsidRPr="009558BB" w:rsidRDefault="00AC33E0" w:rsidP="00AC33E0">
            <w:pPr>
              <w:tabs>
                <w:tab w:val="left" w:pos="567"/>
                <w:tab w:val="left" w:pos="1134"/>
              </w:tabs>
              <w:spacing w:after="0"/>
              <w:jc w:val="left"/>
              <w:rPr>
                <w:rFonts w:cs="Arial"/>
              </w:rPr>
            </w:pPr>
            <w:r w:rsidRPr="009558BB">
              <w:rPr>
                <w:rFonts w:cs="Arial"/>
              </w:rPr>
              <w:t>Other Services</w:t>
            </w:r>
          </w:p>
        </w:tc>
        <w:tc>
          <w:tcPr>
            <w:tcW w:w="1170" w:type="dxa"/>
            <w:vAlign w:val="center"/>
          </w:tcPr>
          <w:p w14:paraId="6E37241C" w14:textId="77777777" w:rsidR="00AC33E0" w:rsidRPr="009558BB" w:rsidRDefault="00AC33E0" w:rsidP="00AC33E0">
            <w:pPr>
              <w:tabs>
                <w:tab w:val="left" w:pos="567"/>
                <w:tab w:val="left" w:pos="1134"/>
              </w:tabs>
              <w:spacing w:after="0"/>
              <w:jc w:val="right"/>
              <w:rPr>
                <w:rFonts w:cs="Arial"/>
              </w:rPr>
            </w:pPr>
            <w:r>
              <w:rPr>
                <w:rFonts w:cs="Arial"/>
              </w:rPr>
              <w:t>-0.424</w:t>
            </w:r>
          </w:p>
        </w:tc>
        <w:tc>
          <w:tcPr>
            <w:tcW w:w="1171" w:type="dxa"/>
            <w:vAlign w:val="center"/>
          </w:tcPr>
          <w:p w14:paraId="54712C00" w14:textId="77777777" w:rsidR="00AC33E0" w:rsidRPr="009558BB" w:rsidRDefault="00AC33E0" w:rsidP="00AC33E0">
            <w:pPr>
              <w:tabs>
                <w:tab w:val="left" w:pos="567"/>
                <w:tab w:val="left" w:pos="1134"/>
              </w:tabs>
              <w:spacing w:after="0"/>
              <w:jc w:val="right"/>
              <w:rPr>
                <w:rFonts w:cs="Arial"/>
              </w:rPr>
            </w:pPr>
            <w:r>
              <w:rPr>
                <w:rFonts w:cs="Arial"/>
              </w:rPr>
              <w:t>0.945</w:t>
            </w:r>
          </w:p>
        </w:tc>
        <w:tc>
          <w:tcPr>
            <w:tcW w:w="1170" w:type="dxa"/>
            <w:vAlign w:val="center"/>
          </w:tcPr>
          <w:p w14:paraId="14B1D026" w14:textId="77777777" w:rsidR="00AC33E0" w:rsidRPr="009558BB" w:rsidRDefault="00AC33E0" w:rsidP="00AC33E0">
            <w:pPr>
              <w:tabs>
                <w:tab w:val="left" w:pos="567"/>
                <w:tab w:val="left" w:pos="1134"/>
              </w:tabs>
              <w:spacing w:after="0"/>
              <w:jc w:val="right"/>
              <w:rPr>
                <w:rFonts w:cs="Arial"/>
              </w:rPr>
            </w:pPr>
            <w:r>
              <w:rPr>
                <w:rFonts w:cs="Arial"/>
              </w:rPr>
              <w:t>0.052</w:t>
            </w:r>
          </w:p>
        </w:tc>
        <w:tc>
          <w:tcPr>
            <w:tcW w:w="1171" w:type="dxa"/>
            <w:vAlign w:val="center"/>
          </w:tcPr>
          <w:p w14:paraId="048AF49C" w14:textId="77777777" w:rsidR="00AC33E0" w:rsidRPr="009558BB" w:rsidRDefault="00AC33E0" w:rsidP="00AC33E0">
            <w:pPr>
              <w:tabs>
                <w:tab w:val="left" w:pos="567"/>
                <w:tab w:val="left" w:pos="1134"/>
              </w:tabs>
              <w:spacing w:after="0"/>
              <w:jc w:val="right"/>
              <w:rPr>
                <w:rFonts w:cs="Arial"/>
                <w:b/>
              </w:rPr>
            </w:pPr>
            <w:r>
              <w:rPr>
                <w:rFonts w:cs="Arial"/>
                <w:b/>
              </w:rPr>
              <w:t>0.573</w:t>
            </w:r>
          </w:p>
        </w:tc>
      </w:tr>
      <w:tr w:rsidR="0093099B" w14:paraId="237A7002" w14:textId="77777777" w:rsidTr="00AC33E0">
        <w:tblPrEx>
          <w:jc w:val="left"/>
        </w:tblPrEx>
        <w:trPr>
          <w:trHeight w:val="684"/>
        </w:trPr>
        <w:tc>
          <w:tcPr>
            <w:tcW w:w="3823" w:type="dxa"/>
            <w:vAlign w:val="center"/>
          </w:tcPr>
          <w:p w14:paraId="06439165" w14:textId="77777777" w:rsidR="00AC33E0" w:rsidRPr="009558BB" w:rsidRDefault="00AC33E0" w:rsidP="00AC33E0">
            <w:pPr>
              <w:tabs>
                <w:tab w:val="left" w:pos="567"/>
                <w:tab w:val="left" w:pos="1134"/>
              </w:tabs>
              <w:spacing w:after="0"/>
              <w:jc w:val="left"/>
              <w:rPr>
                <w:rFonts w:cs="Arial"/>
                <w:b/>
              </w:rPr>
            </w:pPr>
            <w:r w:rsidRPr="009558BB">
              <w:rPr>
                <w:rFonts w:cs="Arial"/>
                <w:b/>
              </w:rPr>
              <w:t>Revised Demand Requirements</w:t>
            </w:r>
          </w:p>
        </w:tc>
        <w:tc>
          <w:tcPr>
            <w:tcW w:w="1170" w:type="dxa"/>
            <w:tcBorders>
              <w:top w:val="nil"/>
              <w:left w:val="nil"/>
              <w:bottom w:val="nil"/>
              <w:right w:val="single" w:sz="4" w:space="0" w:color="auto"/>
            </w:tcBorders>
            <w:shd w:val="clear" w:color="auto" w:fill="auto"/>
            <w:vAlign w:val="center"/>
          </w:tcPr>
          <w:p w14:paraId="692D742E" w14:textId="77777777" w:rsidR="00AC33E0" w:rsidRPr="009558BB" w:rsidRDefault="00AC33E0" w:rsidP="00AC33E0">
            <w:pPr>
              <w:tabs>
                <w:tab w:val="left" w:pos="567"/>
                <w:tab w:val="left" w:pos="1134"/>
              </w:tabs>
              <w:spacing w:after="0"/>
              <w:jc w:val="right"/>
              <w:rPr>
                <w:rFonts w:cs="Arial"/>
                <w:b/>
              </w:rPr>
            </w:pPr>
            <w:r>
              <w:rPr>
                <w:rFonts w:cs="Arial"/>
                <w:b/>
              </w:rPr>
              <w:t>23.068</w:t>
            </w:r>
          </w:p>
        </w:tc>
        <w:tc>
          <w:tcPr>
            <w:tcW w:w="1171" w:type="dxa"/>
            <w:tcBorders>
              <w:top w:val="nil"/>
              <w:left w:val="single" w:sz="4" w:space="0" w:color="auto"/>
              <w:bottom w:val="nil"/>
              <w:right w:val="single" w:sz="4" w:space="0" w:color="auto"/>
            </w:tcBorders>
            <w:shd w:val="clear" w:color="auto" w:fill="auto"/>
            <w:vAlign w:val="center"/>
          </w:tcPr>
          <w:p w14:paraId="0FCEF429" w14:textId="77777777" w:rsidR="00AC33E0" w:rsidRPr="009558BB" w:rsidRDefault="00AC33E0" w:rsidP="00AC33E0">
            <w:pPr>
              <w:tabs>
                <w:tab w:val="left" w:pos="567"/>
                <w:tab w:val="left" w:pos="1134"/>
              </w:tabs>
              <w:spacing w:after="0"/>
              <w:jc w:val="right"/>
              <w:rPr>
                <w:rFonts w:cs="Arial"/>
                <w:b/>
              </w:rPr>
            </w:pPr>
            <w:r w:rsidRPr="009558BB">
              <w:rPr>
                <w:rFonts w:cs="Arial"/>
                <w:b/>
              </w:rPr>
              <w:t>14.337</w:t>
            </w:r>
          </w:p>
        </w:tc>
        <w:tc>
          <w:tcPr>
            <w:tcW w:w="1170" w:type="dxa"/>
            <w:tcBorders>
              <w:top w:val="nil"/>
              <w:left w:val="single" w:sz="4" w:space="0" w:color="auto"/>
              <w:bottom w:val="nil"/>
              <w:right w:val="single" w:sz="4" w:space="0" w:color="auto"/>
            </w:tcBorders>
            <w:shd w:val="clear" w:color="auto" w:fill="auto"/>
            <w:vAlign w:val="center"/>
          </w:tcPr>
          <w:p w14:paraId="11798E82" w14:textId="77777777" w:rsidR="00AC33E0" w:rsidRPr="009558BB" w:rsidRDefault="00AC33E0" w:rsidP="00AC33E0">
            <w:pPr>
              <w:tabs>
                <w:tab w:val="left" w:pos="567"/>
                <w:tab w:val="left" w:pos="1134"/>
              </w:tabs>
              <w:spacing w:after="0"/>
              <w:jc w:val="right"/>
              <w:rPr>
                <w:rFonts w:cs="Arial"/>
                <w:b/>
              </w:rPr>
            </w:pPr>
            <w:r w:rsidRPr="009558BB">
              <w:rPr>
                <w:rFonts w:cs="Arial"/>
                <w:b/>
              </w:rPr>
              <w:t>13.457</w:t>
            </w:r>
          </w:p>
        </w:tc>
        <w:tc>
          <w:tcPr>
            <w:tcW w:w="1171" w:type="dxa"/>
            <w:tcBorders>
              <w:top w:val="nil"/>
              <w:left w:val="single" w:sz="4" w:space="0" w:color="auto"/>
              <w:bottom w:val="single" w:sz="4" w:space="0" w:color="auto"/>
              <w:right w:val="single" w:sz="4" w:space="0" w:color="auto"/>
            </w:tcBorders>
            <w:shd w:val="clear" w:color="auto" w:fill="auto"/>
            <w:vAlign w:val="center"/>
          </w:tcPr>
          <w:p w14:paraId="7F5CBAE2" w14:textId="77777777" w:rsidR="00AC33E0" w:rsidRPr="009558BB" w:rsidRDefault="00AC33E0" w:rsidP="00AC33E0">
            <w:pPr>
              <w:tabs>
                <w:tab w:val="left" w:pos="567"/>
                <w:tab w:val="left" w:pos="1134"/>
              </w:tabs>
              <w:spacing w:after="0"/>
              <w:jc w:val="right"/>
              <w:rPr>
                <w:rFonts w:cs="Arial"/>
                <w:b/>
              </w:rPr>
            </w:pPr>
            <w:r>
              <w:rPr>
                <w:rFonts w:cs="Arial"/>
                <w:b/>
              </w:rPr>
              <w:t>50.862</w:t>
            </w:r>
          </w:p>
        </w:tc>
      </w:tr>
      <w:tr w:rsidR="0093099B" w14:paraId="7AA0A226" w14:textId="77777777" w:rsidTr="00AC33E0">
        <w:trPr>
          <w:trHeight w:val="431"/>
          <w:jc w:val="center"/>
        </w:trPr>
        <w:tc>
          <w:tcPr>
            <w:tcW w:w="3823" w:type="dxa"/>
            <w:vAlign w:val="center"/>
          </w:tcPr>
          <w:p w14:paraId="2B27B29A" w14:textId="77777777" w:rsidR="00AC33E0" w:rsidRPr="009558BB" w:rsidRDefault="00AC33E0" w:rsidP="00AC33E0">
            <w:pPr>
              <w:tabs>
                <w:tab w:val="left" w:pos="567"/>
                <w:tab w:val="left" w:pos="1134"/>
              </w:tabs>
              <w:spacing w:after="0"/>
              <w:jc w:val="left"/>
              <w:rPr>
                <w:rFonts w:cs="Arial"/>
              </w:rPr>
            </w:pPr>
          </w:p>
        </w:tc>
        <w:tc>
          <w:tcPr>
            <w:tcW w:w="1170" w:type="dxa"/>
            <w:vAlign w:val="center"/>
          </w:tcPr>
          <w:p w14:paraId="2CFB886D" w14:textId="77777777" w:rsidR="00AC33E0" w:rsidRPr="009558BB" w:rsidRDefault="00AC33E0" w:rsidP="00AC33E0">
            <w:pPr>
              <w:tabs>
                <w:tab w:val="left" w:pos="567"/>
                <w:tab w:val="left" w:pos="1134"/>
              </w:tabs>
              <w:spacing w:after="0"/>
              <w:jc w:val="right"/>
              <w:rPr>
                <w:rFonts w:cs="Arial"/>
              </w:rPr>
            </w:pPr>
          </w:p>
        </w:tc>
        <w:tc>
          <w:tcPr>
            <w:tcW w:w="1171" w:type="dxa"/>
            <w:vAlign w:val="center"/>
          </w:tcPr>
          <w:p w14:paraId="48AD8634" w14:textId="77777777" w:rsidR="00AC33E0" w:rsidRPr="009558BB" w:rsidRDefault="00AC33E0" w:rsidP="00AC33E0">
            <w:pPr>
              <w:tabs>
                <w:tab w:val="left" w:pos="567"/>
                <w:tab w:val="left" w:pos="1134"/>
              </w:tabs>
              <w:spacing w:after="0"/>
              <w:jc w:val="right"/>
              <w:rPr>
                <w:rFonts w:cs="Arial"/>
              </w:rPr>
            </w:pPr>
          </w:p>
        </w:tc>
        <w:tc>
          <w:tcPr>
            <w:tcW w:w="1170" w:type="dxa"/>
            <w:vAlign w:val="center"/>
          </w:tcPr>
          <w:p w14:paraId="4402531B" w14:textId="77777777" w:rsidR="00AC33E0" w:rsidRPr="009558BB" w:rsidRDefault="00AC33E0" w:rsidP="00AC33E0">
            <w:pPr>
              <w:tabs>
                <w:tab w:val="left" w:pos="567"/>
                <w:tab w:val="left" w:pos="1134"/>
              </w:tabs>
              <w:spacing w:after="0"/>
              <w:jc w:val="right"/>
              <w:rPr>
                <w:rFonts w:cs="Arial"/>
                <w:b/>
              </w:rPr>
            </w:pPr>
          </w:p>
        </w:tc>
        <w:tc>
          <w:tcPr>
            <w:tcW w:w="1171" w:type="dxa"/>
            <w:vAlign w:val="center"/>
          </w:tcPr>
          <w:p w14:paraId="283B00F6" w14:textId="77777777" w:rsidR="00AC33E0" w:rsidRPr="009558BB" w:rsidRDefault="00AC33E0" w:rsidP="00AC33E0">
            <w:pPr>
              <w:tabs>
                <w:tab w:val="left" w:pos="567"/>
                <w:tab w:val="left" w:pos="1134"/>
              </w:tabs>
              <w:spacing w:after="0"/>
              <w:jc w:val="right"/>
              <w:rPr>
                <w:rFonts w:cs="Arial"/>
                <w:b/>
              </w:rPr>
            </w:pPr>
          </w:p>
        </w:tc>
      </w:tr>
      <w:tr w:rsidR="0093099B" w14:paraId="0355A27C" w14:textId="77777777" w:rsidTr="00AC33E0">
        <w:tblPrEx>
          <w:jc w:val="left"/>
        </w:tblPrEx>
        <w:trPr>
          <w:trHeight w:val="684"/>
        </w:trPr>
        <w:tc>
          <w:tcPr>
            <w:tcW w:w="3823" w:type="dxa"/>
            <w:vAlign w:val="center"/>
          </w:tcPr>
          <w:p w14:paraId="7F798243" w14:textId="77777777" w:rsidR="00AC33E0" w:rsidRPr="009558BB" w:rsidRDefault="00AC33E0" w:rsidP="00AC33E0">
            <w:pPr>
              <w:tabs>
                <w:tab w:val="left" w:pos="567"/>
                <w:tab w:val="left" w:pos="1134"/>
              </w:tabs>
              <w:spacing w:after="0"/>
              <w:jc w:val="left"/>
              <w:rPr>
                <w:rFonts w:cs="Arial"/>
              </w:rPr>
            </w:pPr>
            <w:r w:rsidRPr="009558BB">
              <w:rPr>
                <w:rFonts w:cs="Arial"/>
                <w:b/>
              </w:rPr>
              <w:t>Demand – previous MTFS</w:t>
            </w:r>
          </w:p>
        </w:tc>
        <w:tc>
          <w:tcPr>
            <w:tcW w:w="1170" w:type="dxa"/>
            <w:vAlign w:val="center"/>
          </w:tcPr>
          <w:p w14:paraId="73874B48" w14:textId="77777777" w:rsidR="00AC33E0" w:rsidRPr="009558BB" w:rsidRDefault="00AC33E0" w:rsidP="00AC33E0">
            <w:pPr>
              <w:tabs>
                <w:tab w:val="left" w:pos="567"/>
                <w:tab w:val="left" w:pos="1134"/>
              </w:tabs>
              <w:spacing w:after="0"/>
              <w:jc w:val="right"/>
              <w:rPr>
                <w:rFonts w:cs="Arial"/>
                <w:b/>
              </w:rPr>
            </w:pPr>
            <w:r w:rsidRPr="009558BB">
              <w:rPr>
                <w:rFonts w:cs="Arial"/>
                <w:b/>
              </w:rPr>
              <w:t>20.263</w:t>
            </w:r>
          </w:p>
        </w:tc>
        <w:tc>
          <w:tcPr>
            <w:tcW w:w="1171" w:type="dxa"/>
            <w:vAlign w:val="center"/>
          </w:tcPr>
          <w:p w14:paraId="28600E9B" w14:textId="77777777" w:rsidR="00AC33E0" w:rsidRPr="009558BB" w:rsidRDefault="00AC33E0" w:rsidP="00AC33E0">
            <w:pPr>
              <w:tabs>
                <w:tab w:val="left" w:pos="567"/>
                <w:tab w:val="left" w:pos="1134"/>
              </w:tabs>
              <w:spacing w:after="0"/>
              <w:jc w:val="right"/>
              <w:rPr>
                <w:rFonts w:cs="Arial"/>
                <w:b/>
              </w:rPr>
            </w:pPr>
            <w:r w:rsidRPr="009558BB">
              <w:rPr>
                <w:rFonts w:cs="Arial"/>
                <w:b/>
              </w:rPr>
              <w:t>13.165</w:t>
            </w:r>
          </w:p>
        </w:tc>
        <w:tc>
          <w:tcPr>
            <w:tcW w:w="1170" w:type="dxa"/>
            <w:vAlign w:val="center"/>
          </w:tcPr>
          <w:p w14:paraId="081D171F" w14:textId="77777777" w:rsidR="00AC33E0" w:rsidRPr="009558BB" w:rsidRDefault="00AC33E0" w:rsidP="00AC33E0">
            <w:pPr>
              <w:tabs>
                <w:tab w:val="left" w:pos="567"/>
                <w:tab w:val="left" w:pos="1134"/>
              </w:tabs>
              <w:spacing w:after="0"/>
              <w:jc w:val="right"/>
              <w:rPr>
                <w:rFonts w:cs="Arial"/>
                <w:b/>
              </w:rPr>
            </w:pPr>
            <w:r w:rsidRPr="009558BB">
              <w:rPr>
                <w:rFonts w:cs="Arial"/>
                <w:b/>
              </w:rPr>
              <w:t>13.080</w:t>
            </w:r>
          </w:p>
        </w:tc>
        <w:tc>
          <w:tcPr>
            <w:tcW w:w="1171" w:type="dxa"/>
            <w:vAlign w:val="center"/>
          </w:tcPr>
          <w:p w14:paraId="5F0CA653" w14:textId="77777777" w:rsidR="00AC33E0" w:rsidRPr="009558BB" w:rsidRDefault="00AC33E0" w:rsidP="00AC33E0">
            <w:pPr>
              <w:tabs>
                <w:tab w:val="left" w:pos="567"/>
                <w:tab w:val="left" w:pos="1134"/>
              </w:tabs>
              <w:spacing w:after="0"/>
              <w:jc w:val="right"/>
              <w:rPr>
                <w:rFonts w:cs="Arial"/>
                <w:b/>
              </w:rPr>
            </w:pPr>
            <w:r>
              <w:rPr>
                <w:rFonts w:cs="Arial"/>
                <w:b/>
              </w:rPr>
              <w:t>46.508</w:t>
            </w:r>
          </w:p>
        </w:tc>
      </w:tr>
      <w:tr w:rsidR="0093099B" w14:paraId="38FC55AD" w14:textId="77777777" w:rsidTr="00AC33E0">
        <w:trPr>
          <w:trHeight w:val="431"/>
          <w:jc w:val="center"/>
        </w:trPr>
        <w:tc>
          <w:tcPr>
            <w:tcW w:w="3823" w:type="dxa"/>
            <w:vAlign w:val="center"/>
          </w:tcPr>
          <w:p w14:paraId="07472AD8" w14:textId="77777777" w:rsidR="00AC33E0" w:rsidRPr="009558BB" w:rsidRDefault="00AC33E0" w:rsidP="00AC33E0">
            <w:pPr>
              <w:tabs>
                <w:tab w:val="left" w:pos="567"/>
                <w:tab w:val="left" w:pos="1134"/>
              </w:tabs>
              <w:spacing w:after="0"/>
              <w:jc w:val="left"/>
              <w:rPr>
                <w:rFonts w:cs="Arial"/>
              </w:rPr>
            </w:pPr>
          </w:p>
        </w:tc>
        <w:tc>
          <w:tcPr>
            <w:tcW w:w="1170" w:type="dxa"/>
            <w:vAlign w:val="center"/>
          </w:tcPr>
          <w:p w14:paraId="504351FF" w14:textId="77777777" w:rsidR="00AC33E0" w:rsidRPr="009558BB" w:rsidRDefault="00AC33E0" w:rsidP="00AC33E0">
            <w:pPr>
              <w:tabs>
                <w:tab w:val="left" w:pos="567"/>
                <w:tab w:val="left" w:pos="1134"/>
              </w:tabs>
              <w:spacing w:after="0"/>
              <w:jc w:val="right"/>
              <w:rPr>
                <w:rFonts w:cs="Arial"/>
              </w:rPr>
            </w:pPr>
          </w:p>
        </w:tc>
        <w:tc>
          <w:tcPr>
            <w:tcW w:w="1171" w:type="dxa"/>
            <w:vAlign w:val="center"/>
          </w:tcPr>
          <w:p w14:paraId="41AD7FF3" w14:textId="77777777" w:rsidR="00AC33E0" w:rsidRPr="009558BB" w:rsidRDefault="00AC33E0" w:rsidP="00AC33E0">
            <w:pPr>
              <w:tabs>
                <w:tab w:val="left" w:pos="567"/>
                <w:tab w:val="left" w:pos="1134"/>
              </w:tabs>
              <w:spacing w:after="0"/>
              <w:jc w:val="right"/>
              <w:rPr>
                <w:rFonts w:cs="Arial"/>
              </w:rPr>
            </w:pPr>
          </w:p>
        </w:tc>
        <w:tc>
          <w:tcPr>
            <w:tcW w:w="1170" w:type="dxa"/>
            <w:vAlign w:val="center"/>
          </w:tcPr>
          <w:p w14:paraId="38125EBA" w14:textId="77777777" w:rsidR="00AC33E0" w:rsidRPr="009558BB" w:rsidRDefault="00AC33E0" w:rsidP="00AC33E0">
            <w:pPr>
              <w:tabs>
                <w:tab w:val="left" w:pos="567"/>
                <w:tab w:val="left" w:pos="1134"/>
              </w:tabs>
              <w:spacing w:after="0"/>
              <w:jc w:val="right"/>
              <w:rPr>
                <w:rFonts w:cs="Arial"/>
                <w:b/>
              </w:rPr>
            </w:pPr>
          </w:p>
        </w:tc>
        <w:tc>
          <w:tcPr>
            <w:tcW w:w="1171" w:type="dxa"/>
            <w:vAlign w:val="center"/>
          </w:tcPr>
          <w:p w14:paraId="33C8CA0E" w14:textId="77777777" w:rsidR="00AC33E0" w:rsidRPr="009558BB" w:rsidRDefault="00AC33E0" w:rsidP="00AC33E0">
            <w:pPr>
              <w:tabs>
                <w:tab w:val="left" w:pos="567"/>
                <w:tab w:val="left" w:pos="1134"/>
              </w:tabs>
              <w:spacing w:after="0"/>
              <w:jc w:val="right"/>
              <w:rPr>
                <w:rFonts w:cs="Arial"/>
                <w:b/>
              </w:rPr>
            </w:pPr>
          </w:p>
        </w:tc>
      </w:tr>
      <w:tr w:rsidR="0093099B" w14:paraId="0B6864F0" w14:textId="77777777" w:rsidTr="00AC33E0">
        <w:trPr>
          <w:trHeight w:val="684"/>
          <w:jc w:val="center"/>
        </w:trPr>
        <w:tc>
          <w:tcPr>
            <w:tcW w:w="3823" w:type="dxa"/>
            <w:vAlign w:val="center"/>
          </w:tcPr>
          <w:p w14:paraId="436F987A" w14:textId="77777777" w:rsidR="00AC33E0" w:rsidRPr="009558BB" w:rsidRDefault="00AC33E0" w:rsidP="00AC33E0">
            <w:pPr>
              <w:tabs>
                <w:tab w:val="left" w:pos="567"/>
                <w:tab w:val="left" w:pos="1134"/>
              </w:tabs>
              <w:spacing w:after="0"/>
              <w:jc w:val="left"/>
              <w:rPr>
                <w:rFonts w:cs="Arial"/>
                <w:b/>
              </w:rPr>
            </w:pPr>
            <w:r w:rsidRPr="009558BB">
              <w:rPr>
                <w:rFonts w:cs="Arial"/>
                <w:b/>
              </w:rPr>
              <w:t>Impact on Financial Gap</w:t>
            </w:r>
          </w:p>
        </w:tc>
        <w:tc>
          <w:tcPr>
            <w:tcW w:w="1170" w:type="dxa"/>
            <w:tcBorders>
              <w:top w:val="single" w:sz="4" w:space="0" w:color="auto"/>
              <w:left w:val="nil"/>
              <w:bottom w:val="single" w:sz="4" w:space="0" w:color="auto"/>
              <w:right w:val="single" w:sz="4" w:space="0" w:color="auto"/>
            </w:tcBorders>
            <w:shd w:val="clear" w:color="auto" w:fill="auto"/>
            <w:vAlign w:val="center"/>
          </w:tcPr>
          <w:p w14:paraId="2B3956DD" w14:textId="77777777" w:rsidR="00AC33E0" w:rsidRPr="009558BB" w:rsidRDefault="00AC33E0" w:rsidP="00AC33E0">
            <w:pPr>
              <w:tabs>
                <w:tab w:val="left" w:pos="567"/>
                <w:tab w:val="left" w:pos="1134"/>
              </w:tabs>
              <w:spacing w:after="0"/>
              <w:jc w:val="right"/>
              <w:rPr>
                <w:rFonts w:cs="Arial"/>
                <w:b/>
              </w:rPr>
            </w:pPr>
            <w:r>
              <w:rPr>
                <w:rFonts w:cs="Arial"/>
                <w:b/>
                <w:bCs/>
              </w:rPr>
              <w:t>2.805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1C62E42" w14:textId="77777777" w:rsidR="00AC33E0" w:rsidRPr="009558BB" w:rsidRDefault="00AC33E0" w:rsidP="00AC33E0">
            <w:pPr>
              <w:tabs>
                <w:tab w:val="left" w:pos="567"/>
                <w:tab w:val="left" w:pos="1134"/>
              </w:tabs>
              <w:spacing w:after="0"/>
              <w:jc w:val="right"/>
              <w:rPr>
                <w:rFonts w:cs="Arial"/>
                <w:b/>
              </w:rPr>
            </w:pPr>
            <w:r>
              <w:rPr>
                <w:rFonts w:cs="Arial"/>
                <w:b/>
                <w:bCs/>
              </w:rPr>
              <w:t>1.172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E968E0" w14:textId="77777777" w:rsidR="00AC33E0" w:rsidRPr="009558BB" w:rsidRDefault="00AC33E0" w:rsidP="00AC33E0">
            <w:pPr>
              <w:tabs>
                <w:tab w:val="left" w:pos="567"/>
                <w:tab w:val="left" w:pos="1134"/>
              </w:tabs>
              <w:spacing w:after="0"/>
              <w:jc w:val="right"/>
              <w:rPr>
                <w:rFonts w:cs="Arial"/>
                <w:b/>
              </w:rPr>
            </w:pPr>
            <w:r>
              <w:rPr>
                <w:rFonts w:cs="Arial"/>
                <w:b/>
                <w:bCs/>
              </w:rPr>
              <w:t>0.377</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7693D7B" w14:textId="77777777" w:rsidR="00AC33E0" w:rsidRPr="00087142" w:rsidRDefault="00AC33E0" w:rsidP="00AC33E0">
            <w:pPr>
              <w:tabs>
                <w:tab w:val="left" w:pos="567"/>
                <w:tab w:val="left" w:pos="1134"/>
              </w:tabs>
              <w:spacing w:after="0"/>
              <w:jc w:val="right"/>
              <w:rPr>
                <w:rFonts w:cs="Arial"/>
                <w:b/>
              </w:rPr>
            </w:pPr>
            <w:r>
              <w:rPr>
                <w:rFonts w:cs="Arial"/>
                <w:b/>
              </w:rPr>
              <w:t>4.354</w:t>
            </w:r>
          </w:p>
        </w:tc>
      </w:tr>
    </w:tbl>
    <w:p w14:paraId="3EF50914" w14:textId="77777777" w:rsidR="00AC33E0" w:rsidRPr="009C69DC" w:rsidRDefault="00AC33E0" w:rsidP="00AC33E0">
      <w:pPr>
        <w:tabs>
          <w:tab w:val="left" w:pos="567"/>
          <w:tab w:val="left" w:pos="1134"/>
        </w:tabs>
        <w:spacing w:after="0"/>
        <w:rPr>
          <w:rFonts w:cs="Arial"/>
          <w:highlight w:val="yellow"/>
        </w:rPr>
      </w:pPr>
    </w:p>
    <w:p w14:paraId="596A1F74" w14:textId="77777777" w:rsidR="00AC33E0" w:rsidRPr="004E729B" w:rsidRDefault="00AC33E0" w:rsidP="00AC33E0">
      <w:pPr>
        <w:spacing w:after="0"/>
        <w:rPr>
          <w:rFonts w:cs="Arial"/>
        </w:rPr>
      </w:pPr>
      <w:r w:rsidRPr="004E729B">
        <w:rPr>
          <w:rFonts w:cs="Arial"/>
        </w:rPr>
        <w:t>Adult social care represents a large proportion of the demand</w:t>
      </w:r>
      <w:r w:rsidRPr="004E729B">
        <w:rPr>
          <w:rFonts w:cs="Arial"/>
          <w:b/>
        </w:rPr>
        <w:t xml:space="preserve"> </w:t>
      </w:r>
      <w:r w:rsidRPr="004E729B">
        <w:rPr>
          <w:rFonts w:cs="Arial"/>
        </w:rPr>
        <w:t>pressures.</w:t>
      </w:r>
      <w:r w:rsidRPr="004E729B">
        <w:rPr>
          <w:rFonts w:cs="Arial"/>
          <w:b/>
        </w:rPr>
        <w:t xml:space="preserve">  </w:t>
      </w:r>
      <w:r w:rsidRPr="004E729B">
        <w:rPr>
          <w:rFonts w:cs="Arial"/>
        </w:rPr>
        <w:t>Adult Social Care has long seen annual increases in the demand for services and the MTFS attempts to predict growth in future years largely based on reviewing current and past activity trends and also taking into account future population changes</w:t>
      </w:r>
      <w:r>
        <w:rPr>
          <w:rFonts w:cs="Arial"/>
        </w:rPr>
        <w:t>, particularly with regard to the ageing population</w:t>
      </w:r>
      <w:r w:rsidRPr="004E729B">
        <w:rPr>
          <w:rFonts w:cs="Arial"/>
        </w:rPr>
        <w:t xml:space="preserve">. From a social care perspective demand covers both increasing numbers of people eligible for support and the increasing complexity of those cases.  </w:t>
      </w:r>
      <w:r>
        <w:rPr>
          <w:rFonts w:cs="Arial"/>
        </w:rPr>
        <w:t xml:space="preserve">The level of demand included for this service area has remained at the same value as the previous MTFS but will continue to be monitored and figures may be updated in future MTFS reports. </w:t>
      </w:r>
    </w:p>
    <w:p w14:paraId="57458127" w14:textId="77777777" w:rsidR="00AC33E0" w:rsidRPr="009C69DC" w:rsidRDefault="00AC33E0" w:rsidP="00AC33E0">
      <w:pPr>
        <w:spacing w:after="0"/>
        <w:ind w:left="502"/>
        <w:rPr>
          <w:rFonts w:cs="Arial"/>
          <w:highlight w:val="yellow"/>
        </w:rPr>
      </w:pPr>
    </w:p>
    <w:p w14:paraId="2078911B" w14:textId="12650F37" w:rsidR="00AC33E0" w:rsidRPr="009C69DC" w:rsidRDefault="00AC33E0" w:rsidP="00AC33E0">
      <w:pPr>
        <w:spacing w:after="0"/>
        <w:rPr>
          <w:rFonts w:cs="Arial"/>
          <w:highlight w:val="yellow"/>
        </w:rPr>
      </w:pPr>
      <w:r w:rsidRPr="004E729B">
        <w:rPr>
          <w:rFonts w:cs="Arial"/>
        </w:rPr>
        <w:t>Children's social care continues to experience demand pressures across the service, particularly in relation to placement demand due to the number of looked after children in Lancashire. The funding requirement for children's soc</w:t>
      </w:r>
      <w:r>
        <w:rPr>
          <w:rFonts w:cs="Arial"/>
        </w:rPr>
        <w:t>ial care has increased by c£2.3</w:t>
      </w:r>
      <w:r w:rsidRPr="004E729B">
        <w:rPr>
          <w:rFonts w:cs="Arial"/>
        </w:rPr>
        <w:t xml:space="preserve">m over the </w:t>
      </w:r>
      <w:r>
        <w:rPr>
          <w:rFonts w:cs="Arial"/>
        </w:rPr>
        <w:t>3</w:t>
      </w:r>
      <w:r w:rsidRPr="004E729B">
        <w:rPr>
          <w:rFonts w:cs="Arial"/>
        </w:rPr>
        <w:t xml:space="preserve"> year period to reflect increased demand across </w:t>
      </w:r>
      <w:r>
        <w:rPr>
          <w:rFonts w:cs="Arial"/>
        </w:rPr>
        <w:t xml:space="preserve">children looked after placements and </w:t>
      </w:r>
      <w:r w:rsidRPr="004E729B">
        <w:rPr>
          <w:rFonts w:cs="Arial"/>
        </w:rPr>
        <w:t xml:space="preserve">family support for children with disabilities. </w:t>
      </w:r>
      <w:r w:rsidR="007519AC">
        <w:rPr>
          <w:rFonts w:cs="Arial"/>
        </w:rPr>
        <w:t xml:space="preserve">We are looking at </w:t>
      </w:r>
      <w:r w:rsidR="007519AC">
        <w:rPr>
          <w:rFonts w:cs="Arial"/>
        </w:rPr>
        <w:lastRenderedPageBreak/>
        <w:t xml:space="preserve">best practice sites across the country to explore opportunities to reduce demand in a way that delivers better outcomes for </w:t>
      </w:r>
      <w:r w:rsidR="005B099C">
        <w:rPr>
          <w:rFonts w:cs="Arial"/>
        </w:rPr>
        <w:t>c</w:t>
      </w:r>
      <w:r w:rsidR="007519AC">
        <w:rPr>
          <w:rFonts w:cs="Arial"/>
        </w:rPr>
        <w:t>hildren but as yet no formal conclusions have been reached and hence it is not included in the MTFS.</w:t>
      </w:r>
      <w:r w:rsidRPr="004E729B">
        <w:rPr>
          <w:rFonts w:cs="Arial"/>
        </w:rPr>
        <w:t xml:space="preserve"> </w:t>
      </w:r>
    </w:p>
    <w:p w14:paraId="621DCC9A" w14:textId="77777777" w:rsidR="005B099C" w:rsidRDefault="005B099C" w:rsidP="00AC33E0">
      <w:pPr>
        <w:spacing w:after="0"/>
        <w:rPr>
          <w:rFonts w:cs="Arial"/>
        </w:rPr>
      </w:pPr>
    </w:p>
    <w:p w14:paraId="2242E463" w14:textId="3FEA1708" w:rsidR="00AC33E0" w:rsidRDefault="00AC33E0" w:rsidP="00AC33E0">
      <w:pPr>
        <w:spacing w:after="0"/>
        <w:rPr>
          <w:rFonts w:cs="Arial"/>
        </w:rPr>
      </w:pPr>
      <w:r w:rsidRPr="008869FB">
        <w:rPr>
          <w:rFonts w:cs="Arial"/>
        </w:rPr>
        <w:t xml:space="preserve">The budget for waste services continues to see a reduced level of growth.  The reduction is due to </w:t>
      </w:r>
      <w:r w:rsidR="000368F0">
        <w:rPr>
          <w:rFonts w:cs="Arial"/>
        </w:rPr>
        <w:t xml:space="preserve">lower than projected </w:t>
      </w:r>
      <w:r w:rsidRPr="008869FB">
        <w:rPr>
          <w:rFonts w:cs="Arial"/>
        </w:rPr>
        <w:t>waste arising</w:t>
      </w:r>
      <w:r w:rsidR="000368F0">
        <w:rPr>
          <w:rFonts w:cs="Arial"/>
        </w:rPr>
        <w:t xml:space="preserve"> increases influenced </w:t>
      </w:r>
      <w:r w:rsidRPr="008869FB">
        <w:rPr>
          <w:rFonts w:cs="Arial"/>
        </w:rPr>
        <w:t>by</w:t>
      </w:r>
      <w:r w:rsidR="000368F0">
        <w:rPr>
          <w:rFonts w:cs="Arial"/>
        </w:rPr>
        <w:t xml:space="preserve"> the agreed</w:t>
      </w:r>
      <w:r w:rsidRPr="008869FB">
        <w:rPr>
          <w:rFonts w:cs="Arial"/>
        </w:rPr>
        <w:t xml:space="preserve"> investment in waste minimisation. This has resulted in a reduction of £0.465m in the level of demand required in 2020/21. </w:t>
      </w:r>
    </w:p>
    <w:p w14:paraId="7B405C50" w14:textId="77777777" w:rsidR="00AC33E0" w:rsidRDefault="00AC33E0" w:rsidP="00AC33E0">
      <w:pPr>
        <w:spacing w:after="0"/>
        <w:rPr>
          <w:rFonts w:cs="Arial"/>
        </w:rPr>
      </w:pPr>
    </w:p>
    <w:p w14:paraId="6F226BA9" w14:textId="77777777" w:rsidR="00AC33E0" w:rsidRPr="008869FB" w:rsidRDefault="00AC33E0" w:rsidP="00AC33E0">
      <w:pPr>
        <w:spacing w:after="0"/>
        <w:rPr>
          <w:rFonts w:cs="Arial"/>
        </w:rPr>
      </w:pPr>
      <w:r>
        <w:rPr>
          <w:rFonts w:cs="Arial"/>
        </w:rPr>
        <w:t xml:space="preserve">The public and integrated transport budget continues to see rising demand pressures. As part of this MTFS an additional c£2.4m has been budgeted for across 2020/21 – 2022/23. </w:t>
      </w:r>
    </w:p>
    <w:p w14:paraId="16892350" w14:textId="77777777" w:rsidR="00AC33E0" w:rsidRPr="009C69DC" w:rsidRDefault="00AC33E0" w:rsidP="00AC33E0">
      <w:pPr>
        <w:spacing w:after="0"/>
        <w:rPr>
          <w:rFonts w:cs="Arial"/>
          <w:highlight w:val="yellow"/>
        </w:rPr>
      </w:pPr>
    </w:p>
    <w:p w14:paraId="261C83B7" w14:textId="77777777" w:rsidR="00AC33E0" w:rsidRPr="008F36DD" w:rsidRDefault="00AC33E0" w:rsidP="00AC33E0">
      <w:pPr>
        <w:tabs>
          <w:tab w:val="left" w:pos="567"/>
          <w:tab w:val="left" w:pos="1134"/>
        </w:tabs>
        <w:spacing w:after="0"/>
        <w:rPr>
          <w:rFonts w:cs="Arial"/>
          <w:b/>
        </w:rPr>
      </w:pPr>
      <w:r w:rsidRPr="008F36DD">
        <w:rPr>
          <w:rFonts w:cs="Arial"/>
          <w:b/>
        </w:rPr>
        <w:t>3.4 Undeliverable Savings</w:t>
      </w:r>
    </w:p>
    <w:p w14:paraId="2EF5BA2E" w14:textId="77777777" w:rsidR="00AC33E0" w:rsidRPr="008F36DD" w:rsidRDefault="00AC33E0" w:rsidP="00AC33E0">
      <w:pPr>
        <w:tabs>
          <w:tab w:val="left" w:pos="567"/>
          <w:tab w:val="left" w:pos="1134"/>
        </w:tabs>
        <w:spacing w:after="0"/>
        <w:rPr>
          <w:rFonts w:cs="Arial"/>
          <w:b/>
        </w:rPr>
      </w:pPr>
    </w:p>
    <w:p w14:paraId="23F4411E" w14:textId="2C3F11A7" w:rsidR="00AC33E0" w:rsidRDefault="00AC33E0" w:rsidP="00AC33E0">
      <w:pPr>
        <w:tabs>
          <w:tab w:val="left" w:pos="567"/>
          <w:tab w:val="left" w:pos="1134"/>
        </w:tabs>
        <w:spacing w:after="0"/>
        <w:rPr>
          <w:rFonts w:cs="Arial"/>
        </w:rPr>
      </w:pPr>
      <w:r>
        <w:rPr>
          <w:rFonts w:cs="Arial"/>
        </w:rPr>
        <w:t xml:space="preserve">There is a rigorous monitoring process of </w:t>
      </w:r>
      <w:r w:rsidR="005B099C">
        <w:rPr>
          <w:rFonts w:cs="Arial"/>
        </w:rPr>
        <w:t xml:space="preserve">agreed </w:t>
      </w:r>
      <w:r>
        <w:rPr>
          <w:rFonts w:cs="Arial"/>
        </w:rPr>
        <w:t xml:space="preserve">savings in place and several savings have been classified as undeliverable due to changing circumstances </w:t>
      </w:r>
      <w:r w:rsidR="007519AC">
        <w:rPr>
          <w:rFonts w:cs="Arial"/>
        </w:rPr>
        <w:t xml:space="preserve">and </w:t>
      </w:r>
      <w:r>
        <w:rPr>
          <w:rFonts w:cs="Arial"/>
        </w:rPr>
        <w:t>consultation feedback</w:t>
      </w:r>
      <w:r w:rsidR="000368F0">
        <w:rPr>
          <w:rFonts w:cs="Arial"/>
        </w:rPr>
        <w:t xml:space="preserve">, and it has not been possible for services to identify alternative offsetting savings in the timeframes involved. </w:t>
      </w:r>
      <w:r>
        <w:rPr>
          <w:rFonts w:cs="Arial"/>
        </w:rPr>
        <w:t>The following savings are built back into the budget at quarter 1:</w:t>
      </w:r>
    </w:p>
    <w:p w14:paraId="6C72DD89" w14:textId="77777777" w:rsidR="00AC33E0" w:rsidRDefault="00AC33E0" w:rsidP="00AC33E0">
      <w:pPr>
        <w:tabs>
          <w:tab w:val="left" w:pos="567"/>
          <w:tab w:val="left" w:pos="1134"/>
        </w:tabs>
        <w:spacing w:after="0"/>
        <w:rPr>
          <w:rFonts w:cs="Arial"/>
        </w:rPr>
      </w:pPr>
    </w:p>
    <w:p w14:paraId="0DA9AF1C" w14:textId="77777777" w:rsidR="00AC33E0" w:rsidRDefault="00AC33E0" w:rsidP="00AC33E0">
      <w:pPr>
        <w:pStyle w:val="ListParagraph"/>
        <w:numPr>
          <w:ilvl w:val="0"/>
          <w:numId w:val="43"/>
        </w:numPr>
        <w:tabs>
          <w:tab w:val="left" w:pos="567"/>
          <w:tab w:val="left" w:pos="1134"/>
        </w:tabs>
        <w:spacing w:after="0"/>
        <w:rPr>
          <w:rFonts w:cs="Arial"/>
        </w:rPr>
      </w:pPr>
      <w:r>
        <w:rPr>
          <w:rFonts w:cs="Arial"/>
        </w:rPr>
        <w:t>SC507 – Change of sleep in rates - £2.1m</w:t>
      </w:r>
    </w:p>
    <w:p w14:paraId="41AF6CA9" w14:textId="77777777" w:rsidR="00AC33E0" w:rsidRDefault="00AC33E0" w:rsidP="00AC33E0">
      <w:pPr>
        <w:pStyle w:val="ListParagraph"/>
        <w:numPr>
          <w:ilvl w:val="0"/>
          <w:numId w:val="43"/>
        </w:numPr>
        <w:tabs>
          <w:tab w:val="left" w:pos="567"/>
          <w:tab w:val="left" w:pos="1134"/>
        </w:tabs>
        <w:spacing w:after="0"/>
        <w:rPr>
          <w:rFonts w:cs="Arial"/>
        </w:rPr>
      </w:pPr>
      <w:r>
        <w:rPr>
          <w:rFonts w:cs="Arial"/>
        </w:rPr>
        <w:t>Residential Strategy – Increased utilisation of in-house residential provision - £0.996m</w:t>
      </w:r>
    </w:p>
    <w:p w14:paraId="01E85EAC" w14:textId="77777777" w:rsidR="00AC33E0" w:rsidRPr="008F36DD" w:rsidRDefault="00AC33E0" w:rsidP="00AC33E0">
      <w:pPr>
        <w:pStyle w:val="ListParagraph"/>
        <w:numPr>
          <w:ilvl w:val="0"/>
          <w:numId w:val="43"/>
        </w:numPr>
        <w:tabs>
          <w:tab w:val="left" w:pos="567"/>
          <w:tab w:val="left" w:pos="1134"/>
        </w:tabs>
        <w:spacing w:after="0"/>
        <w:rPr>
          <w:rFonts w:cs="Arial"/>
        </w:rPr>
      </w:pPr>
      <w:r>
        <w:rPr>
          <w:rFonts w:cs="Arial"/>
        </w:rPr>
        <w:t>SC102 – Transfer of cases to children awaiting adoption team - £0.197m</w:t>
      </w:r>
    </w:p>
    <w:p w14:paraId="4A84A6B4" w14:textId="77777777" w:rsidR="00AC33E0" w:rsidRPr="008F36DD" w:rsidRDefault="00AC33E0" w:rsidP="00AC33E0">
      <w:pPr>
        <w:tabs>
          <w:tab w:val="left" w:pos="567"/>
          <w:tab w:val="left" w:pos="1134"/>
        </w:tabs>
        <w:spacing w:after="0"/>
        <w:rPr>
          <w:rFonts w:cs="Arial"/>
        </w:rPr>
      </w:pPr>
    </w:p>
    <w:p w14:paraId="5DFC2667" w14:textId="1558DAC2" w:rsidR="00AC33E0" w:rsidRDefault="00AC33E0" w:rsidP="00AC33E0">
      <w:pPr>
        <w:tabs>
          <w:tab w:val="left" w:pos="567"/>
          <w:tab w:val="left" w:pos="1134"/>
        </w:tabs>
        <w:spacing w:after="0"/>
        <w:rPr>
          <w:rFonts w:cs="Arial"/>
        </w:rPr>
      </w:pPr>
      <w:r w:rsidRPr="008F36DD">
        <w:rPr>
          <w:rFonts w:cs="Arial"/>
        </w:rPr>
        <w:t xml:space="preserve">In addition, </w:t>
      </w:r>
      <w:r>
        <w:rPr>
          <w:rFonts w:cs="Arial"/>
        </w:rPr>
        <w:t>a further saving was agreed in January 2018 relating to the redirection of the work of the</w:t>
      </w:r>
      <w:r w:rsidR="000368F0">
        <w:rPr>
          <w:rFonts w:cs="Arial"/>
        </w:rPr>
        <w:t xml:space="preserve"> </w:t>
      </w:r>
      <w:r>
        <w:rPr>
          <w:rFonts w:cs="Arial"/>
        </w:rPr>
        <w:t xml:space="preserve">Supporting Carers of Children and Young People Looked After Together service in order to generate additional income from the adoption support fund (£0.450m). This saving has also been classified as undeliverable but the service has been able to identify recurring underspends in other areas that has offset this pressure and doesn't therefore need to be added back into the budget. This has also negated the requirement for consultation of the original savings proposal.   </w:t>
      </w:r>
    </w:p>
    <w:p w14:paraId="2D5A1430" w14:textId="77777777" w:rsidR="00AC33E0" w:rsidRDefault="00AC33E0" w:rsidP="00AC33E0">
      <w:pPr>
        <w:tabs>
          <w:tab w:val="left" w:pos="567"/>
          <w:tab w:val="left" w:pos="1134"/>
        </w:tabs>
        <w:spacing w:after="0"/>
        <w:rPr>
          <w:rFonts w:cs="Arial"/>
        </w:rPr>
      </w:pPr>
    </w:p>
    <w:p w14:paraId="73C535F3" w14:textId="77777777" w:rsidR="00AC33E0" w:rsidRPr="00996DB3" w:rsidRDefault="00AC33E0" w:rsidP="00AC33E0">
      <w:pPr>
        <w:tabs>
          <w:tab w:val="left" w:pos="567"/>
          <w:tab w:val="left" w:pos="1134"/>
        </w:tabs>
        <w:spacing w:after="0"/>
        <w:rPr>
          <w:rFonts w:cs="Arial"/>
          <w:b/>
        </w:rPr>
      </w:pPr>
      <w:r w:rsidRPr="00996DB3">
        <w:rPr>
          <w:rFonts w:cs="Arial"/>
          <w:b/>
        </w:rPr>
        <w:t xml:space="preserve">3.5 Additional Savings </w:t>
      </w:r>
    </w:p>
    <w:p w14:paraId="6FB3942D" w14:textId="77777777" w:rsidR="00AC33E0" w:rsidRPr="00996DB3" w:rsidRDefault="00AC33E0" w:rsidP="00AC33E0">
      <w:pPr>
        <w:tabs>
          <w:tab w:val="left" w:pos="567"/>
          <w:tab w:val="left" w:pos="1134"/>
        </w:tabs>
        <w:spacing w:after="0"/>
        <w:rPr>
          <w:rFonts w:cs="Arial"/>
          <w:b/>
        </w:rPr>
      </w:pPr>
    </w:p>
    <w:p w14:paraId="7B561DCF" w14:textId="0CCCFF86" w:rsidR="00AC33E0" w:rsidRDefault="00AC33E0" w:rsidP="00AC33E0">
      <w:pPr>
        <w:tabs>
          <w:tab w:val="left" w:pos="567"/>
          <w:tab w:val="left" w:pos="1134"/>
        </w:tabs>
        <w:spacing w:after="0"/>
        <w:rPr>
          <w:rFonts w:cs="Arial"/>
        </w:rPr>
      </w:pPr>
      <w:r>
        <w:rPr>
          <w:rFonts w:cs="Arial"/>
        </w:rPr>
        <w:t xml:space="preserve">The initial service challenge process necessarily focused on individual service reviews supported by benchmarking data which identified a number of areas where the council was high cost compared to a number of other county councils.   The aim was to </w:t>
      </w:r>
      <w:r w:rsidR="00FF0CA9">
        <w:rPr>
          <w:rFonts w:cs="Arial"/>
        </w:rPr>
        <w:t>deliver</w:t>
      </w:r>
      <w:r>
        <w:rPr>
          <w:rFonts w:cs="Arial"/>
        </w:rPr>
        <w:t xml:space="preserve"> the same or better outcomes at reduced cost wherever possible and phase 1 of the service challenge process identified £77m of savings proposals which were included both within the 2019/20 budget and the MTFS position.  Updated financial benchmarking data covering the 2019/20 budget supports an overall positive change in the cost of service position of the council relative to other county councils, but with some services still remaining at a relatively significant higher cost overall than the mean or median county council. </w:t>
      </w:r>
      <w:r w:rsidR="00FF0CA9">
        <w:rPr>
          <w:rFonts w:cs="Arial"/>
        </w:rPr>
        <w:t xml:space="preserve"> This is largely driven by higher demand and operational practice.</w:t>
      </w:r>
      <w:r>
        <w:rPr>
          <w:rFonts w:cs="Arial"/>
        </w:rPr>
        <w:t xml:space="preserve"> </w:t>
      </w:r>
    </w:p>
    <w:p w14:paraId="31C29140" w14:textId="77777777" w:rsidR="00AC33E0" w:rsidRDefault="00AC33E0" w:rsidP="00AC33E0">
      <w:pPr>
        <w:tabs>
          <w:tab w:val="left" w:pos="567"/>
          <w:tab w:val="left" w:pos="1134"/>
        </w:tabs>
        <w:spacing w:after="0"/>
        <w:rPr>
          <w:rFonts w:cs="Arial"/>
        </w:rPr>
      </w:pPr>
    </w:p>
    <w:p w14:paraId="104B1241" w14:textId="4A0559D1" w:rsidR="00AC33E0" w:rsidRPr="009C69DC" w:rsidRDefault="00AC33E0" w:rsidP="00AC33E0">
      <w:pPr>
        <w:tabs>
          <w:tab w:val="left" w:pos="567"/>
          <w:tab w:val="left" w:pos="1134"/>
        </w:tabs>
        <w:spacing w:after="0"/>
        <w:rPr>
          <w:rFonts w:cs="Arial"/>
          <w:highlight w:val="yellow"/>
        </w:rPr>
      </w:pPr>
      <w:r>
        <w:rPr>
          <w:rFonts w:cs="Arial"/>
        </w:rPr>
        <w:t xml:space="preserve">Phase 1 also identified </w:t>
      </w:r>
      <w:r w:rsidRPr="00DB4FFF">
        <w:rPr>
          <w:rFonts w:cs="Arial"/>
        </w:rPr>
        <w:t>a number of cross-cutting work</w:t>
      </w:r>
      <w:r>
        <w:rPr>
          <w:rFonts w:cs="Arial"/>
        </w:rPr>
        <w:t xml:space="preserve"> </w:t>
      </w:r>
      <w:r w:rsidRPr="00DB4FFF">
        <w:rPr>
          <w:rFonts w:cs="Arial"/>
        </w:rPr>
        <w:t xml:space="preserve">streams and areas for investigation and review </w:t>
      </w:r>
      <w:r>
        <w:rPr>
          <w:rFonts w:cs="Arial"/>
        </w:rPr>
        <w:t xml:space="preserve">which is being taken forward as part of the service challenge phase 2 process.  These work streams are necessarily complex, requiring a </w:t>
      </w:r>
      <w:r>
        <w:rPr>
          <w:rFonts w:cs="Arial"/>
        </w:rPr>
        <w:lastRenderedPageBreak/>
        <w:t xml:space="preserve">fundamental challenge of, in many cases, longstanding organisational approaches, systems and processes to enable both service improvements and cost savings to be identified.   Work is progressing on phase 2 with demand management and organisational development key areas of focus </w:t>
      </w:r>
      <w:r w:rsidR="00FF0CA9">
        <w:rPr>
          <w:rFonts w:cs="Arial"/>
        </w:rPr>
        <w:t xml:space="preserve">with a </w:t>
      </w:r>
      <w:r w:rsidR="005B099C">
        <w:rPr>
          <w:rFonts w:cs="Arial"/>
        </w:rPr>
        <w:t xml:space="preserve">separate </w:t>
      </w:r>
      <w:r w:rsidR="00FF0CA9">
        <w:rPr>
          <w:rFonts w:cs="Arial"/>
        </w:rPr>
        <w:t xml:space="preserve">report on this cabinet meeting agenda and </w:t>
      </w:r>
      <w:r>
        <w:rPr>
          <w:rFonts w:cs="Arial"/>
        </w:rPr>
        <w:t>f</w:t>
      </w:r>
      <w:r w:rsidRPr="00DB4FFF">
        <w:rPr>
          <w:rFonts w:cs="Arial"/>
        </w:rPr>
        <w:t xml:space="preserve">urther saving proposals </w:t>
      </w:r>
      <w:r w:rsidR="00FF0CA9">
        <w:rPr>
          <w:rFonts w:cs="Arial"/>
        </w:rPr>
        <w:t>to</w:t>
      </w:r>
      <w:r w:rsidR="00FF0CA9" w:rsidRPr="00DB4FFF">
        <w:rPr>
          <w:rFonts w:cs="Arial"/>
        </w:rPr>
        <w:t xml:space="preserve"> </w:t>
      </w:r>
      <w:r w:rsidRPr="00DB4FFF">
        <w:rPr>
          <w:rFonts w:cs="Arial"/>
        </w:rPr>
        <w:t>come forward for considera</w:t>
      </w:r>
      <w:r w:rsidR="004177E4">
        <w:rPr>
          <w:rFonts w:cs="Arial"/>
        </w:rPr>
        <w:t>tion at future c</w:t>
      </w:r>
      <w:r>
        <w:rPr>
          <w:rFonts w:cs="Arial"/>
        </w:rPr>
        <w:t xml:space="preserve">abinet meetings.   </w:t>
      </w:r>
      <w:r w:rsidRPr="00DB4FFF">
        <w:rPr>
          <w:rFonts w:cs="Arial"/>
        </w:rPr>
        <w:t xml:space="preserve">  </w:t>
      </w:r>
    </w:p>
    <w:p w14:paraId="2B07FE76" w14:textId="77777777" w:rsidR="00AC33E0" w:rsidRPr="00014D3B" w:rsidRDefault="00AC33E0" w:rsidP="00AC33E0">
      <w:pPr>
        <w:tabs>
          <w:tab w:val="left" w:pos="567"/>
          <w:tab w:val="left" w:pos="1134"/>
        </w:tabs>
        <w:spacing w:after="0"/>
        <w:rPr>
          <w:rFonts w:cs="Arial"/>
          <w:b/>
          <w:highlight w:val="yellow"/>
        </w:rPr>
      </w:pPr>
    </w:p>
    <w:p w14:paraId="6CB9CD35" w14:textId="77777777" w:rsidR="00AC33E0" w:rsidRDefault="00AC33E0" w:rsidP="00AC33E0">
      <w:pPr>
        <w:tabs>
          <w:tab w:val="left" w:pos="567"/>
          <w:tab w:val="left" w:pos="1134"/>
        </w:tabs>
        <w:spacing w:after="0"/>
        <w:rPr>
          <w:rFonts w:cs="Arial"/>
          <w:highlight w:val="yellow"/>
        </w:rPr>
      </w:pPr>
    </w:p>
    <w:p w14:paraId="2F024A03" w14:textId="77777777" w:rsidR="00AC33E0" w:rsidRDefault="00AC33E0" w:rsidP="00AC33E0">
      <w:pPr>
        <w:tabs>
          <w:tab w:val="left" w:pos="567"/>
          <w:tab w:val="left" w:pos="1134"/>
        </w:tabs>
        <w:spacing w:after="0"/>
        <w:rPr>
          <w:rFonts w:cs="Arial"/>
          <w:highlight w:val="yellow"/>
        </w:rPr>
      </w:pPr>
    </w:p>
    <w:p w14:paraId="05DE3454" w14:textId="77777777" w:rsidR="00AC33E0" w:rsidRDefault="00AC33E0" w:rsidP="00AC33E0">
      <w:pPr>
        <w:tabs>
          <w:tab w:val="left" w:pos="567"/>
          <w:tab w:val="left" w:pos="1134"/>
        </w:tabs>
        <w:spacing w:after="0"/>
        <w:rPr>
          <w:rFonts w:cs="Arial"/>
          <w:highlight w:val="yellow"/>
        </w:rPr>
      </w:pPr>
    </w:p>
    <w:p w14:paraId="388A28D2" w14:textId="77777777" w:rsidR="00AC33E0" w:rsidRPr="009C69DC" w:rsidRDefault="00AC33E0" w:rsidP="00AC33E0">
      <w:pPr>
        <w:tabs>
          <w:tab w:val="left" w:pos="567"/>
          <w:tab w:val="left" w:pos="1134"/>
        </w:tabs>
        <w:spacing w:after="0"/>
        <w:rPr>
          <w:rFonts w:cs="Arial"/>
          <w:highlight w:val="yellow"/>
        </w:rPr>
      </w:pPr>
    </w:p>
    <w:p w14:paraId="274CE3DF" w14:textId="77777777" w:rsidR="00AC33E0" w:rsidRDefault="00AC33E0" w:rsidP="00AC33E0">
      <w:pPr>
        <w:tabs>
          <w:tab w:val="left" w:pos="567"/>
          <w:tab w:val="left" w:pos="1134"/>
        </w:tabs>
        <w:spacing w:after="0"/>
        <w:rPr>
          <w:rFonts w:cs="Arial"/>
          <w:highlight w:val="yellow"/>
        </w:rPr>
      </w:pPr>
    </w:p>
    <w:p w14:paraId="4BCEA4D9" w14:textId="77777777" w:rsidR="00AC33E0" w:rsidRDefault="00AC33E0" w:rsidP="00AC33E0">
      <w:pPr>
        <w:tabs>
          <w:tab w:val="left" w:pos="567"/>
          <w:tab w:val="left" w:pos="1134"/>
        </w:tabs>
        <w:spacing w:after="0"/>
        <w:rPr>
          <w:rFonts w:cs="Arial"/>
          <w:highlight w:val="yellow"/>
        </w:rPr>
      </w:pPr>
    </w:p>
    <w:p w14:paraId="5196F392" w14:textId="77777777" w:rsidR="00AC33E0" w:rsidRDefault="00AC33E0" w:rsidP="00AC33E0">
      <w:pPr>
        <w:tabs>
          <w:tab w:val="left" w:pos="567"/>
          <w:tab w:val="left" w:pos="1134"/>
        </w:tabs>
        <w:spacing w:after="0"/>
        <w:rPr>
          <w:rFonts w:cs="Arial"/>
          <w:highlight w:val="yellow"/>
        </w:rPr>
      </w:pPr>
    </w:p>
    <w:p w14:paraId="270B009B" w14:textId="77777777" w:rsidR="00AC33E0" w:rsidRDefault="00AC33E0" w:rsidP="00AC33E0">
      <w:pPr>
        <w:tabs>
          <w:tab w:val="left" w:pos="567"/>
          <w:tab w:val="left" w:pos="1134"/>
        </w:tabs>
        <w:spacing w:after="0"/>
        <w:rPr>
          <w:rFonts w:cs="Arial"/>
          <w:highlight w:val="yellow"/>
        </w:rPr>
      </w:pPr>
    </w:p>
    <w:p w14:paraId="6C23089B" w14:textId="77777777" w:rsidR="00AC33E0" w:rsidRDefault="00AC33E0" w:rsidP="00AC33E0">
      <w:pPr>
        <w:tabs>
          <w:tab w:val="left" w:pos="567"/>
          <w:tab w:val="left" w:pos="1134"/>
        </w:tabs>
        <w:spacing w:after="0"/>
        <w:rPr>
          <w:rFonts w:cs="Arial"/>
          <w:highlight w:val="yellow"/>
        </w:rPr>
      </w:pPr>
    </w:p>
    <w:p w14:paraId="170E1B65" w14:textId="77777777" w:rsidR="00AC33E0" w:rsidRDefault="00AC33E0" w:rsidP="00AC33E0">
      <w:pPr>
        <w:tabs>
          <w:tab w:val="left" w:pos="567"/>
          <w:tab w:val="left" w:pos="1134"/>
        </w:tabs>
        <w:spacing w:after="0"/>
        <w:rPr>
          <w:rFonts w:cs="Arial"/>
          <w:highlight w:val="yellow"/>
        </w:rPr>
      </w:pPr>
    </w:p>
    <w:p w14:paraId="133DB98D" w14:textId="77777777" w:rsidR="00AC33E0" w:rsidRDefault="00AC33E0" w:rsidP="00AC33E0">
      <w:pPr>
        <w:tabs>
          <w:tab w:val="left" w:pos="567"/>
          <w:tab w:val="left" w:pos="1134"/>
        </w:tabs>
        <w:spacing w:after="0"/>
        <w:rPr>
          <w:rFonts w:cs="Arial"/>
          <w:highlight w:val="yellow"/>
        </w:rPr>
      </w:pPr>
    </w:p>
    <w:p w14:paraId="4204111E" w14:textId="77777777" w:rsidR="00AC33E0" w:rsidRDefault="00AC33E0" w:rsidP="00AC33E0">
      <w:pPr>
        <w:tabs>
          <w:tab w:val="left" w:pos="567"/>
          <w:tab w:val="left" w:pos="1134"/>
        </w:tabs>
        <w:spacing w:after="0"/>
        <w:rPr>
          <w:rFonts w:cs="Arial"/>
          <w:highlight w:val="yellow"/>
        </w:rPr>
      </w:pPr>
    </w:p>
    <w:p w14:paraId="31117CE6" w14:textId="77777777" w:rsidR="00AC33E0" w:rsidRDefault="00AC33E0" w:rsidP="00AC33E0">
      <w:pPr>
        <w:tabs>
          <w:tab w:val="left" w:pos="567"/>
          <w:tab w:val="left" w:pos="1134"/>
        </w:tabs>
        <w:spacing w:after="0"/>
        <w:rPr>
          <w:rFonts w:cs="Arial"/>
          <w:highlight w:val="yellow"/>
        </w:rPr>
      </w:pPr>
    </w:p>
    <w:p w14:paraId="06F14499" w14:textId="77777777" w:rsidR="00AC33E0" w:rsidRDefault="00AC33E0" w:rsidP="00AC33E0">
      <w:pPr>
        <w:tabs>
          <w:tab w:val="left" w:pos="567"/>
          <w:tab w:val="left" w:pos="1134"/>
        </w:tabs>
        <w:spacing w:after="0"/>
        <w:rPr>
          <w:rFonts w:cs="Arial"/>
          <w:highlight w:val="yellow"/>
        </w:rPr>
      </w:pPr>
    </w:p>
    <w:p w14:paraId="70E1482B" w14:textId="77777777" w:rsidR="00AC33E0" w:rsidRDefault="00AC33E0" w:rsidP="00AC33E0">
      <w:pPr>
        <w:tabs>
          <w:tab w:val="left" w:pos="567"/>
          <w:tab w:val="left" w:pos="1134"/>
        </w:tabs>
        <w:spacing w:after="0"/>
        <w:rPr>
          <w:rFonts w:cs="Arial"/>
          <w:highlight w:val="yellow"/>
        </w:rPr>
      </w:pPr>
    </w:p>
    <w:p w14:paraId="0D9A885E" w14:textId="77777777" w:rsidR="00AC33E0" w:rsidRDefault="00AC33E0" w:rsidP="00AC33E0">
      <w:pPr>
        <w:tabs>
          <w:tab w:val="left" w:pos="567"/>
          <w:tab w:val="left" w:pos="1134"/>
        </w:tabs>
        <w:spacing w:after="0"/>
        <w:rPr>
          <w:rFonts w:cs="Arial"/>
          <w:highlight w:val="yellow"/>
        </w:rPr>
      </w:pPr>
    </w:p>
    <w:p w14:paraId="7C6E439B" w14:textId="77777777" w:rsidR="00AC33E0" w:rsidRDefault="00AC33E0" w:rsidP="00AC33E0">
      <w:pPr>
        <w:tabs>
          <w:tab w:val="left" w:pos="567"/>
          <w:tab w:val="left" w:pos="1134"/>
        </w:tabs>
        <w:spacing w:after="0"/>
        <w:rPr>
          <w:rFonts w:cs="Arial"/>
          <w:highlight w:val="yellow"/>
        </w:rPr>
      </w:pPr>
    </w:p>
    <w:p w14:paraId="2D2479C3" w14:textId="77777777" w:rsidR="00AC33E0" w:rsidRDefault="00AC33E0" w:rsidP="00AC33E0">
      <w:pPr>
        <w:tabs>
          <w:tab w:val="left" w:pos="567"/>
          <w:tab w:val="left" w:pos="1134"/>
        </w:tabs>
        <w:spacing w:after="0"/>
        <w:rPr>
          <w:rFonts w:cs="Arial"/>
          <w:highlight w:val="yellow"/>
        </w:rPr>
      </w:pPr>
    </w:p>
    <w:p w14:paraId="6B5FE968" w14:textId="77777777" w:rsidR="00AC33E0" w:rsidRDefault="00AC33E0" w:rsidP="00AC33E0">
      <w:pPr>
        <w:tabs>
          <w:tab w:val="left" w:pos="567"/>
          <w:tab w:val="left" w:pos="1134"/>
        </w:tabs>
        <w:spacing w:after="0"/>
        <w:rPr>
          <w:rFonts w:cs="Arial"/>
          <w:highlight w:val="yellow"/>
        </w:rPr>
      </w:pPr>
    </w:p>
    <w:p w14:paraId="598A2421" w14:textId="77777777" w:rsidR="00AC33E0" w:rsidRDefault="00AC33E0" w:rsidP="00AC33E0">
      <w:pPr>
        <w:tabs>
          <w:tab w:val="left" w:pos="567"/>
          <w:tab w:val="left" w:pos="1134"/>
        </w:tabs>
        <w:spacing w:after="0"/>
        <w:rPr>
          <w:rFonts w:cs="Arial"/>
          <w:highlight w:val="yellow"/>
        </w:rPr>
      </w:pPr>
    </w:p>
    <w:p w14:paraId="2398EED1" w14:textId="77777777" w:rsidR="00AC33E0" w:rsidRDefault="00AC33E0" w:rsidP="00AC33E0">
      <w:pPr>
        <w:tabs>
          <w:tab w:val="left" w:pos="567"/>
          <w:tab w:val="left" w:pos="1134"/>
        </w:tabs>
        <w:spacing w:after="0"/>
        <w:rPr>
          <w:rFonts w:cs="Arial"/>
          <w:highlight w:val="yellow"/>
        </w:rPr>
      </w:pPr>
    </w:p>
    <w:p w14:paraId="3D0E7FD3" w14:textId="77777777" w:rsidR="00AC33E0" w:rsidRDefault="00AC33E0" w:rsidP="00AC33E0">
      <w:pPr>
        <w:tabs>
          <w:tab w:val="left" w:pos="567"/>
          <w:tab w:val="left" w:pos="1134"/>
        </w:tabs>
        <w:spacing w:after="0"/>
        <w:rPr>
          <w:rFonts w:cs="Arial"/>
          <w:highlight w:val="yellow"/>
        </w:rPr>
      </w:pPr>
    </w:p>
    <w:p w14:paraId="704A8875" w14:textId="77777777" w:rsidR="00AC33E0" w:rsidRDefault="00AC33E0" w:rsidP="00AC33E0">
      <w:pPr>
        <w:tabs>
          <w:tab w:val="left" w:pos="567"/>
          <w:tab w:val="left" w:pos="1134"/>
        </w:tabs>
        <w:spacing w:after="0"/>
        <w:rPr>
          <w:rFonts w:cs="Arial"/>
          <w:highlight w:val="yellow"/>
        </w:rPr>
      </w:pPr>
    </w:p>
    <w:p w14:paraId="7661E34B" w14:textId="77777777" w:rsidR="00AC33E0" w:rsidRDefault="00AC33E0" w:rsidP="00AC33E0">
      <w:pPr>
        <w:tabs>
          <w:tab w:val="left" w:pos="567"/>
          <w:tab w:val="left" w:pos="1134"/>
        </w:tabs>
        <w:spacing w:after="0"/>
        <w:rPr>
          <w:rFonts w:cs="Arial"/>
          <w:highlight w:val="yellow"/>
        </w:rPr>
      </w:pPr>
    </w:p>
    <w:p w14:paraId="24599894" w14:textId="77777777" w:rsidR="00AC33E0" w:rsidRDefault="00AC33E0" w:rsidP="00AC33E0">
      <w:pPr>
        <w:tabs>
          <w:tab w:val="left" w:pos="567"/>
          <w:tab w:val="left" w:pos="1134"/>
        </w:tabs>
        <w:spacing w:after="0"/>
        <w:rPr>
          <w:rFonts w:cs="Arial"/>
          <w:highlight w:val="yellow"/>
        </w:rPr>
      </w:pPr>
    </w:p>
    <w:p w14:paraId="1C3F21A3" w14:textId="77777777" w:rsidR="00AC33E0" w:rsidRDefault="00AC33E0" w:rsidP="00AC33E0">
      <w:pPr>
        <w:tabs>
          <w:tab w:val="left" w:pos="567"/>
          <w:tab w:val="left" w:pos="1134"/>
        </w:tabs>
        <w:spacing w:after="0"/>
        <w:rPr>
          <w:rFonts w:cs="Arial"/>
          <w:highlight w:val="yellow"/>
        </w:rPr>
      </w:pPr>
    </w:p>
    <w:p w14:paraId="3CFA22B6" w14:textId="77777777" w:rsidR="00AC33E0" w:rsidRDefault="00AC33E0" w:rsidP="00AC33E0">
      <w:pPr>
        <w:tabs>
          <w:tab w:val="left" w:pos="567"/>
          <w:tab w:val="left" w:pos="1134"/>
        </w:tabs>
        <w:spacing w:after="0"/>
        <w:rPr>
          <w:rFonts w:cs="Arial"/>
          <w:highlight w:val="yellow"/>
        </w:rPr>
      </w:pPr>
    </w:p>
    <w:p w14:paraId="6312784E" w14:textId="77777777" w:rsidR="00AC33E0" w:rsidRDefault="00AC33E0" w:rsidP="00AC33E0">
      <w:pPr>
        <w:tabs>
          <w:tab w:val="left" w:pos="567"/>
          <w:tab w:val="left" w:pos="1134"/>
        </w:tabs>
        <w:spacing w:after="0"/>
        <w:rPr>
          <w:rFonts w:cs="Arial"/>
          <w:highlight w:val="yellow"/>
        </w:rPr>
      </w:pPr>
    </w:p>
    <w:p w14:paraId="569E4085" w14:textId="77777777" w:rsidR="00AC33E0" w:rsidRDefault="00AC33E0" w:rsidP="00AC33E0">
      <w:pPr>
        <w:tabs>
          <w:tab w:val="left" w:pos="567"/>
          <w:tab w:val="left" w:pos="1134"/>
        </w:tabs>
        <w:spacing w:after="0"/>
        <w:rPr>
          <w:rFonts w:cs="Arial"/>
          <w:highlight w:val="yellow"/>
        </w:rPr>
      </w:pPr>
    </w:p>
    <w:p w14:paraId="101E15A5" w14:textId="77777777" w:rsidR="00AC33E0" w:rsidRDefault="00AC33E0" w:rsidP="00AC33E0">
      <w:pPr>
        <w:tabs>
          <w:tab w:val="left" w:pos="567"/>
          <w:tab w:val="left" w:pos="1134"/>
        </w:tabs>
        <w:spacing w:after="0"/>
        <w:rPr>
          <w:rFonts w:cs="Arial"/>
          <w:highlight w:val="yellow"/>
        </w:rPr>
      </w:pPr>
    </w:p>
    <w:p w14:paraId="6D3120EC" w14:textId="77777777" w:rsidR="00AC33E0" w:rsidRDefault="00AC33E0" w:rsidP="00AC33E0">
      <w:pPr>
        <w:tabs>
          <w:tab w:val="left" w:pos="567"/>
          <w:tab w:val="left" w:pos="1134"/>
        </w:tabs>
        <w:spacing w:after="0"/>
        <w:rPr>
          <w:rFonts w:cs="Arial"/>
          <w:highlight w:val="yellow"/>
        </w:rPr>
      </w:pPr>
    </w:p>
    <w:p w14:paraId="10C8F09A" w14:textId="77777777" w:rsidR="00AC33E0" w:rsidRDefault="00AC33E0" w:rsidP="00AC33E0">
      <w:pPr>
        <w:tabs>
          <w:tab w:val="left" w:pos="567"/>
          <w:tab w:val="left" w:pos="1134"/>
        </w:tabs>
        <w:spacing w:after="0"/>
        <w:rPr>
          <w:rFonts w:cs="Arial"/>
          <w:highlight w:val="yellow"/>
        </w:rPr>
      </w:pPr>
    </w:p>
    <w:p w14:paraId="07C308F5" w14:textId="77777777" w:rsidR="00AC33E0" w:rsidRDefault="00AC33E0" w:rsidP="00AC33E0">
      <w:pPr>
        <w:tabs>
          <w:tab w:val="left" w:pos="567"/>
          <w:tab w:val="left" w:pos="1134"/>
        </w:tabs>
        <w:spacing w:after="0"/>
        <w:rPr>
          <w:rFonts w:cs="Arial"/>
          <w:highlight w:val="yellow"/>
        </w:rPr>
      </w:pPr>
    </w:p>
    <w:p w14:paraId="603B5DA4" w14:textId="77777777" w:rsidR="00AC33E0" w:rsidRDefault="00AC33E0" w:rsidP="00AC33E0">
      <w:pPr>
        <w:tabs>
          <w:tab w:val="left" w:pos="567"/>
          <w:tab w:val="left" w:pos="1134"/>
        </w:tabs>
        <w:spacing w:after="0"/>
        <w:rPr>
          <w:rFonts w:cs="Arial"/>
          <w:highlight w:val="yellow"/>
        </w:rPr>
      </w:pPr>
    </w:p>
    <w:p w14:paraId="60845716" w14:textId="77777777" w:rsidR="00AC33E0" w:rsidRDefault="00AC33E0" w:rsidP="00AC33E0">
      <w:pPr>
        <w:tabs>
          <w:tab w:val="left" w:pos="567"/>
          <w:tab w:val="left" w:pos="1134"/>
        </w:tabs>
        <w:spacing w:after="0"/>
        <w:rPr>
          <w:rFonts w:cs="Arial"/>
          <w:highlight w:val="yellow"/>
        </w:rPr>
      </w:pPr>
    </w:p>
    <w:p w14:paraId="500DC028" w14:textId="77777777" w:rsidR="00AC33E0" w:rsidRDefault="00AC33E0" w:rsidP="00AC33E0">
      <w:pPr>
        <w:tabs>
          <w:tab w:val="left" w:pos="567"/>
          <w:tab w:val="left" w:pos="1134"/>
        </w:tabs>
        <w:spacing w:after="0"/>
        <w:rPr>
          <w:rFonts w:cs="Arial"/>
          <w:highlight w:val="yellow"/>
        </w:rPr>
      </w:pPr>
    </w:p>
    <w:p w14:paraId="3A919E37" w14:textId="77777777" w:rsidR="00AC33E0" w:rsidRDefault="00AC33E0" w:rsidP="00AC33E0">
      <w:pPr>
        <w:tabs>
          <w:tab w:val="left" w:pos="567"/>
          <w:tab w:val="left" w:pos="1134"/>
        </w:tabs>
        <w:spacing w:after="0"/>
        <w:rPr>
          <w:rFonts w:cs="Arial"/>
          <w:highlight w:val="yellow"/>
        </w:rPr>
      </w:pPr>
    </w:p>
    <w:p w14:paraId="7F6F7C18" w14:textId="77777777" w:rsidR="00AC33E0" w:rsidRDefault="00AC33E0" w:rsidP="00AC33E0">
      <w:pPr>
        <w:tabs>
          <w:tab w:val="left" w:pos="567"/>
          <w:tab w:val="left" w:pos="1134"/>
        </w:tabs>
        <w:spacing w:after="0"/>
        <w:rPr>
          <w:rFonts w:cs="Arial"/>
          <w:highlight w:val="yellow"/>
        </w:rPr>
      </w:pPr>
    </w:p>
    <w:p w14:paraId="72F895EF" w14:textId="77777777" w:rsidR="00AC33E0" w:rsidRDefault="00AC33E0" w:rsidP="00AC33E0">
      <w:pPr>
        <w:tabs>
          <w:tab w:val="left" w:pos="567"/>
          <w:tab w:val="left" w:pos="1134"/>
        </w:tabs>
        <w:spacing w:after="0"/>
        <w:rPr>
          <w:rFonts w:cs="Arial"/>
          <w:highlight w:val="yellow"/>
        </w:rPr>
      </w:pPr>
    </w:p>
    <w:p w14:paraId="459CDD59" w14:textId="063E222A" w:rsidR="00AC33E0" w:rsidRDefault="00AC33E0" w:rsidP="00AC33E0">
      <w:pPr>
        <w:tabs>
          <w:tab w:val="left" w:pos="567"/>
          <w:tab w:val="left" w:pos="1134"/>
        </w:tabs>
        <w:spacing w:after="0"/>
        <w:rPr>
          <w:rFonts w:cs="Arial"/>
          <w:highlight w:val="yellow"/>
        </w:rPr>
      </w:pPr>
    </w:p>
    <w:p w14:paraId="18B15570" w14:textId="77777777" w:rsidR="004177E4" w:rsidRDefault="004177E4" w:rsidP="00AC33E0">
      <w:pPr>
        <w:tabs>
          <w:tab w:val="left" w:pos="567"/>
          <w:tab w:val="left" w:pos="1134"/>
        </w:tabs>
        <w:spacing w:after="0"/>
        <w:rPr>
          <w:rFonts w:cs="Arial"/>
          <w:highlight w:val="yellow"/>
        </w:rPr>
      </w:pPr>
    </w:p>
    <w:p w14:paraId="2DE46BFC" w14:textId="77777777" w:rsidR="00AC33E0" w:rsidRDefault="00AC33E0" w:rsidP="00AC33E0">
      <w:pPr>
        <w:tabs>
          <w:tab w:val="left" w:pos="567"/>
          <w:tab w:val="left" w:pos="1134"/>
        </w:tabs>
        <w:spacing w:after="0"/>
        <w:rPr>
          <w:rFonts w:cs="Arial"/>
          <w:highlight w:val="yellow"/>
        </w:rPr>
      </w:pPr>
    </w:p>
    <w:p w14:paraId="4A53808A" w14:textId="77777777" w:rsidR="005B099C" w:rsidRDefault="005B099C" w:rsidP="00AC33E0">
      <w:pPr>
        <w:tabs>
          <w:tab w:val="left" w:pos="567"/>
          <w:tab w:val="left" w:pos="1134"/>
        </w:tabs>
        <w:spacing w:after="0"/>
        <w:rPr>
          <w:rFonts w:cs="Arial"/>
          <w:highlight w:val="yellow"/>
        </w:rPr>
      </w:pPr>
    </w:p>
    <w:p w14:paraId="2F0F756B" w14:textId="77777777" w:rsidR="00AC33E0" w:rsidRDefault="00AC33E0" w:rsidP="00AC33E0">
      <w:pPr>
        <w:tabs>
          <w:tab w:val="left" w:pos="567"/>
          <w:tab w:val="left" w:pos="1134"/>
        </w:tabs>
        <w:spacing w:after="0"/>
        <w:rPr>
          <w:rFonts w:cs="Arial"/>
          <w:highlight w:val="yellow"/>
        </w:rPr>
      </w:pPr>
    </w:p>
    <w:p w14:paraId="7F185FA9" w14:textId="77777777" w:rsidR="00AC33E0" w:rsidRPr="006B6E36" w:rsidRDefault="00AC33E0" w:rsidP="00AC33E0">
      <w:pPr>
        <w:tabs>
          <w:tab w:val="left" w:pos="567"/>
          <w:tab w:val="left" w:pos="1134"/>
        </w:tabs>
        <w:spacing w:after="0"/>
        <w:rPr>
          <w:rFonts w:cs="Arial"/>
          <w:b/>
        </w:rPr>
      </w:pPr>
      <w:r w:rsidRPr="006B6E36">
        <w:rPr>
          <w:rFonts w:cs="Arial"/>
          <w:b/>
        </w:rPr>
        <w:lastRenderedPageBreak/>
        <w:t>4. Reserves</w:t>
      </w:r>
    </w:p>
    <w:p w14:paraId="651AD5C5" w14:textId="77777777" w:rsidR="00AC33E0" w:rsidRPr="006B6E36" w:rsidRDefault="00AC33E0" w:rsidP="00AC33E0">
      <w:pPr>
        <w:tabs>
          <w:tab w:val="left" w:pos="567"/>
          <w:tab w:val="left" w:pos="1134"/>
        </w:tabs>
        <w:spacing w:after="0"/>
        <w:rPr>
          <w:rFonts w:cs="Arial"/>
          <w:b/>
        </w:rPr>
      </w:pPr>
    </w:p>
    <w:p w14:paraId="5187DEAD" w14:textId="77777777" w:rsidR="00AC33E0" w:rsidRPr="006B6E36" w:rsidRDefault="00AC33E0" w:rsidP="00AC33E0">
      <w:pPr>
        <w:tabs>
          <w:tab w:val="left" w:pos="567"/>
          <w:tab w:val="left" w:pos="1134"/>
        </w:tabs>
        <w:spacing w:after="0"/>
        <w:rPr>
          <w:rFonts w:cs="Arial"/>
          <w:b/>
          <w:i/>
          <w:u w:val="single"/>
        </w:rPr>
      </w:pPr>
      <w:r w:rsidRPr="006B6E36">
        <w:rPr>
          <w:rFonts w:cs="Arial"/>
          <w:b/>
          <w:i/>
          <w:u w:val="single"/>
        </w:rPr>
        <w:t>Table 7</w:t>
      </w:r>
    </w:p>
    <w:tbl>
      <w:tblPr>
        <w:tblpPr w:leftFromText="180" w:rightFromText="180" w:vertAnchor="text" w:horzAnchor="page" w:tblpX="339" w:tblpY="64"/>
        <w:tblW w:w="10905" w:type="dxa"/>
        <w:tblLook w:val="04A0" w:firstRow="1" w:lastRow="0" w:firstColumn="1" w:lastColumn="0" w:noHBand="0" w:noVBand="1"/>
      </w:tblPr>
      <w:tblGrid>
        <w:gridCol w:w="1951"/>
        <w:gridCol w:w="1284"/>
        <w:gridCol w:w="1276"/>
        <w:gridCol w:w="1176"/>
        <w:gridCol w:w="901"/>
        <w:gridCol w:w="1275"/>
        <w:gridCol w:w="883"/>
        <w:gridCol w:w="1134"/>
        <w:gridCol w:w="1025"/>
      </w:tblGrid>
      <w:tr w:rsidR="0093099B" w14:paraId="20C08064" w14:textId="77777777" w:rsidTr="00AC33E0">
        <w:trPr>
          <w:trHeight w:val="1575"/>
        </w:trPr>
        <w:tc>
          <w:tcPr>
            <w:tcW w:w="1951"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4767334" w14:textId="77777777" w:rsidR="00AC33E0" w:rsidRPr="00BA3F89" w:rsidRDefault="00AC33E0" w:rsidP="00AC33E0">
            <w:pPr>
              <w:autoSpaceDE/>
              <w:autoSpaceDN/>
              <w:adjustRightInd/>
              <w:spacing w:after="0"/>
              <w:jc w:val="center"/>
              <w:rPr>
                <w:rFonts w:eastAsia="Times New Roman" w:cs="Arial"/>
                <w:b/>
                <w:bCs/>
                <w:sz w:val="18"/>
                <w:szCs w:val="18"/>
                <w:lang w:eastAsia="en-GB"/>
              </w:rPr>
            </w:pPr>
            <w:r w:rsidRPr="00BA3F89">
              <w:rPr>
                <w:rFonts w:eastAsia="Times New Roman" w:cs="Arial"/>
                <w:b/>
                <w:bCs/>
                <w:sz w:val="18"/>
                <w:szCs w:val="18"/>
                <w:lang w:eastAsia="en-GB"/>
              </w:rPr>
              <w:t>Reserve Name</w:t>
            </w:r>
          </w:p>
        </w:tc>
        <w:tc>
          <w:tcPr>
            <w:tcW w:w="1284" w:type="dxa"/>
            <w:tcBorders>
              <w:top w:val="single" w:sz="8" w:space="0" w:color="auto"/>
              <w:left w:val="nil"/>
              <w:bottom w:val="single" w:sz="4" w:space="0" w:color="auto"/>
              <w:right w:val="single" w:sz="4" w:space="0" w:color="auto"/>
            </w:tcBorders>
            <w:shd w:val="clear" w:color="000000" w:fill="BFBFBF"/>
            <w:vAlign w:val="center"/>
            <w:hideMark/>
          </w:tcPr>
          <w:p w14:paraId="2F2E825C"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Opening balance 2019/20</w:t>
            </w:r>
          </w:p>
        </w:tc>
        <w:tc>
          <w:tcPr>
            <w:tcW w:w="1276" w:type="dxa"/>
            <w:tcBorders>
              <w:top w:val="single" w:sz="8" w:space="0" w:color="auto"/>
              <w:left w:val="nil"/>
              <w:bottom w:val="single" w:sz="4" w:space="0" w:color="auto"/>
              <w:right w:val="single" w:sz="4" w:space="0" w:color="auto"/>
            </w:tcBorders>
            <w:shd w:val="clear" w:color="000000" w:fill="BFBFBF"/>
            <w:vAlign w:val="center"/>
            <w:hideMark/>
          </w:tcPr>
          <w:p w14:paraId="264BCF8D"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2019/20 Forecast Expenditure</w:t>
            </w:r>
          </w:p>
        </w:tc>
        <w:tc>
          <w:tcPr>
            <w:tcW w:w="1176" w:type="dxa"/>
            <w:tcBorders>
              <w:top w:val="single" w:sz="8" w:space="0" w:color="auto"/>
              <w:left w:val="nil"/>
              <w:bottom w:val="single" w:sz="4" w:space="0" w:color="auto"/>
              <w:right w:val="single" w:sz="4" w:space="0" w:color="auto"/>
            </w:tcBorders>
            <w:shd w:val="clear" w:color="000000" w:fill="BFBFBF"/>
            <w:vAlign w:val="center"/>
            <w:hideMark/>
          </w:tcPr>
          <w:p w14:paraId="45661CAE"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Forecast Contribution to/from Reserves (Other Revenue e.g. Schools)</w:t>
            </w:r>
          </w:p>
        </w:tc>
        <w:tc>
          <w:tcPr>
            <w:tcW w:w="901" w:type="dxa"/>
            <w:tcBorders>
              <w:top w:val="single" w:sz="8" w:space="0" w:color="auto"/>
              <w:left w:val="nil"/>
              <w:bottom w:val="single" w:sz="4" w:space="0" w:color="auto"/>
              <w:right w:val="single" w:sz="4" w:space="0" w:color="auto"/>
            </w:tcBorders>
            <w:shd w:val="clear" w:color="000000" w:fill="BFBFBF"/>
            <w:vAlign w:val="center"/>
            <w:hideMark/>
          </w:tcPr>
          <w:p w14:paraId="79670B7C"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2019/20 forecast transfers to/from other reserves</w:t>
            </w:r>
          </w:p>
        </w:tc>
        <w:tc>
          <w:tcPr>
            <w:tcW w:w="1275" w:type="dxa"/>
            <w:tcBorders>
              <w:top w:val="single" w:sz="8" w:space="0" w:color="auto"/>
              <w:left w:val="nil"/>
              <w:bottom w:val="single" w:sz="4" w:space="0" w:color="auto"/>
              <w:right w:val="single" w:sz="4" w:space="0" w:color="auto"/>
            </w:tcBorders>
            <w:shd w:val="clear" w:color="000000" w:fill="BFBFBF"/>
            <w:vAlign w:val="center"/>
            <w:hideMark/>
          </w:tcPr>
          <w:p w14:paraId="013090CF"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Forecast Closing balance 2019/20</w:t>
            </w:r>
          </w:p>
        </w:tc>
        <w:tc>
          <w:tcPr>
            <w:tcW w:w="883" w:type="dxa"/>
            <w:tcBorders>
              <w:top w:val="single" w:sz="8" w:space="0" w:color="auto"/>
              <w:left w:val="nil"/>
              <w:bottom w:val="single" w:sz="4" w:space="0" w:color="auto"/>
              <w:right w:val="single" w:sz="4" w:space="0" w:color="auto"/>
            </w:tcBorders>
            <w:shd w:val="clear" w:color="000000" w:fill="BFBFBF"/>
            <w:vAlign w:val="center"/>
            <w:hideMark/>
          </w:tcPr>
          <w:p w14:paraId="3F2FF2F2"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2020-21 Forecast Spend</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14:paraId="2D880C07"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2021-22 Forecast Spend</w:t>
            </w:r>
          </w:p>
        </w:tc>
        <w:tc>
          <w:tcPr>
            <w:tcW w:w="1025" w:type="dxa"/>
            <w:tcBorders>
              <w:top w:val="single" w:sz="8" w:space="0" w:color="auto"/>
              <w:left w:val="nil"/>
              <w:bottom w:val="single" w:sz="4" w:space="0" w:color="auto"/>
              <w:right w:val="single" w:sz="8" w:space="0" w:color="auto"/>
            </w:tcBorders>
            <w:shd w:val="clear" w:color="000000" w:fill="BFBFBF"/>
            <w:vAlign w:val="center"/>
            <w:hideMark/>
          </w:tcPr>
          <w:p w14:paraId="57422CE0"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Forecast closing balance 31 March 2022</w:t>
            </w:r>
          </w:p>
        </w:tc>
      </w:tr>
      <w:tr w:rsidR="0093099B" w14:paraId="7A93A775" w14:textId="77777777" w:rsidTr="00AC33E0">
        <w:trPr>
          <w:trHeight w:val="255"/>
        </w:trPr>
        <w:tc>
          <w:tcPr>
            <w:tcW w:w="1951" w:type="dxa"/>
            <w:tcBorders>
              <w:top w:val="nil"/>
              <w:left w:val="single" w:sz="8" w:space="0" w:color="auto"/>
              <w:bottom w:val="single" w:sz="4" w:space="0" w:color="auto"/>
              <w:right w:val="single" w:sz="4" w:space="0" w:color="auto"/>
            </w:tcBorders>
            <w:shd w:val="clear" w:color="000000" w:fill="BFBFBF"/>
            <w:vAlign w:val="bottom"/>
            <w:hideMark/>
          </w:tcPr>
          <w:p w14:paraId="140A4F34"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 </w:t>
            </w:r>
          </w:p>
        </w:tc>
        <w:tc>
          <w:tcPr>
            <w:tcW w:w="1284" w:type="dxa"/>
            <w:tcBorders>
              <w:top w:val="nil"/>
              <w:left w:val="nil"/>
              <w:bottom w:val="single" w:sz="4" w:space="0" w:color="auto"/>
              <w:right w:val="single" w:sz="4" w:space="0" w:color="auto"/>
            </w:tcBorders>
            <w:shd w:val="clear" w:color="000000" w:fill="BFBFBF"/>
            <w:noWrap/>
            <w:vAlign w:val="bottom"/>
            <w:hideMark/>
          </w:tcPr>
          <w:p w14:paraId="6A8D2D51"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£m</w:t>
            </w:r>
          </w:p>
        </w:tc>
        <w:tc>
          <w:tcPr>
            <w:tcW w:w="1276" w:type="dxa"/>
            <w:tcBorders>
              <w:top w:val="nil"/>
              <w:left w:val="nil"/>
              <w:bottom w:val="single" w:sz="4" w:space="0" w:color="auto"/>
              <w:right w:val="single" w:sz="4" w:space="0" w:color="auto"/>
            </w:tcBorders>
            <w:shd w:val="clear" w:color="000000" w:fill="BFBFBF"/>
            <w:noWrap/>
            <w:vAlign w:val="center"/>
            <w:hideMark/>
          </w:tcPr>
          <w:p w14:paraId="45107BCE"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£m</w:t>
            </w:r>
          </w:p>
        </w:tc>
        <w:tc>
          <w:tcPr>
            <w:tcW w:w="1176" w:type="dxa"/>
            <w:tcBorders>
              <w:top w:val="nil"/>
              <w:left w:val="nil"/>
              <w:bottom w:val="single" w:sz="4" w:space="0" w:color="auto"/>
              <w:right w:val="single" w:sz="4" w:space="0" w:color="auto"/>
            </w:tcBorders>
            <w:shd w:val="clear" w:color="000000" w:fill="BFBFBF"/>
            <w:noWrap/>
            <w:vAlign w:val="center"/>
            <w:hideMark/>
          </w:tcPr>
          <w:p w14:paraId="246A5F96"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£m</w:t>
            </w:r>
          </w:p>
        </w:tc>
        <w:tc>
          <w:tcPr>
            <w:tcW w:w="901" w:type="dxa"/>
            <w:tcBorders>
              <w:top w:val="nil"/>
              <w:left w:val="nil"/>
              <w:bottom w:val="single" w:sz="4" w:space="0" w:color="auto"/>
              <w:right w:val="single" w:sz="4" w:space="0" w:color="auto"/>
            </w:tcBorders>
            <w:shd w:val="clear" w:color="000000" w:fill="BFBFBF"/>
            <w:noWrap/>
            <w:vAlign w:val="center"/>
            <w:hideMark/>
          </w:tcPr>
          <w:p w14:paraId="1FE1B77D"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 </w:t>
            </w:r>
          </w:p>
        </w:tc>
        <w:tc>
          <w:tcPr>
            <w:tcW w:w="1275" w:type="dxa"/>
            <w:tcBorders>
              <w:top w:val="nil"/>
              <w:left w:val="nil"/>
              <w:bottom w:val="single" w:sz="4" w:space="0" w:color="auto"/>
              <w:right w:val="single" w:sz="4" w:space="0" w:color="auto"/>
            </w:tcBorders>
            <w:shd w:val="clear" w:color="000000" w:fill="BFBFBF"/>
            <w:noWrap/>
            <w:vAlign w:val="bottom"/>
            <w:hideMark/>
          </w:tcPr>
          <w:p w14:paraId="31490084"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£m</w:t>
            </w:r>
          </w:p>
        </w:tc>
        <w:tc>
          <w:tcPr>
            <w:tcW w:w="883" w:type="dxa"/>
            <w:tcBorders>
              <w:top w:val="nil"/>
              <w:left w:val="nil"/>
              <w:bottom w:val="single" w:sz="4" w:space="0" w:color="auto"/>
              <w:right w:val="single" w:sz="4" w:space="0" w:color="auto"/>
            </w:tcBorders>
            <w:shd w:val="clear" w:color="000000" w:fill="BFBFBF"/>
            <w:noWrap/>
            <w:vAlign w:val="bottom"/>
            <w:hideMark/>
          </w:tcPr>
          <w:p w14:paraId="58A59414"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£m</w:t>
            </w:r>
          </w:p>
        </w:tc>
        <w:tc>
          <w:tcPr>
            <w:tcW w:w="1134" w:type="dxa"/>
            <w:tcBorders>
              <w:top w:val="nil"/>
              <w:left w:val="nil"/>
              <w:bottom w:val="single" w:sz="4" w:space="0" w:color="auto"/>
              <w:right w:val="single" w:sz="4" w:space="0" w:color="auto"/>
            </w:tcBorders>
            <w:shd w:val="clear" w:color="000000" w:fill="BFBFBF"/>
            <w:noWrap/>
            <w:vAlign w:val="bottom"/>
            <w:hideMark/>
          </w:tcPr>
          <w:p w14:paraId="632EB215"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£m</w:t>
            </w:r>
          </w:p>
        </w:tc>
        <w:tc>
          <w:tcPr>
            <w:tcW w:w="1025" w:type="dxa"/>
            <w:tcBorders>
              <w:top w:val="nil"/>
              <w:left w:val="nil"/>
              <w:bottom w:val="single" w:sz="4" w:space="0" w:color="auto"/>
              <w:right w:val="single" w:sz="8" w:space="0" w:color="auto"/>
            </w:tcBorders>
            <w:shd w:val="clear" w:color="000000" w:fill="BFBFBF"/>
            <w:noWrap/>
            <w:vAlign w:val="bottom"/>
            <w:hideMark/>
          </w:tcPr>
          <w:p w14:paraId="1172C246"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£m</w:t>
            </w:r>
          </w:p>
        </w:tc>
      </w:tr>
      <w:tr w:rsidR="0093099B" w14:paraId="14F49DB7" w14:textId="77777777" w:rsidTr="00AC33E0">
        <w:trPr>
          <w:trHeight w:val="638"/>
        </w:trPr>
        <w:tc>
          <w:tcPr>
            <w:tcW w:w="1951" w:type="dxa"/>
            <w:tcBorders>
              <w:top w:val="nil"/>
              <w:left w:val="single" w:sz="8" w:space="0" w:color="auto"/>
              <w:bottom w:val="single" w:sz="4" w:space="0" w:color="auto"/>
              <w:right w:val="single" w:sz="4" w:space="0" w:color="auto"/>
            </w:tcBorders>
            <w:shd w:val="clear" w:color="auto" w:fill="auto"/>
            <w:vAlign w:val="center"/>
            <w:hideMark/>
          </w:tcPr>
          <w:p w14:paraId="0D8C1DE8"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County Fund</w:t>
            </w:r>
          </w:p>
        </w:tc>
        <w:tc>
          <w:tcPr>
            <w:tcW w:w="1284" w:type="dxa"/>
            <w:tcBorders>
              <w:top w:val="nil"/>
              <w:left w:val="nil"/>
              <w:bottom w:val="single" w:sz="4" w:space="0" w:color="auto"/>
              <w:right w:val="single" w:sz="4" w:space="0" w:color="auto"/>
            </w:tcBorders>
            <w:shd w:val="clear" w:color="auto" w:fill="auto"/>
            <w:noWrap/>
            <w:vAlign w:val="center"/>
            <w:hideMark/>
          </w:tcPr>
          <w:p w14:paraId="5363FE0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-23.437</w:t>
            </w:r>
          </w:p>
        </w:tc>
        <w:tc>
          <w:tcPr>
            <w:tcW w:w="1276" w:type="dxa"/>
            <w:tcBorders>
              <w:top w:val="nil"/>
              <w:left w:val="nil"/>
              <w:bottom w:val="single" w:sz="4" w:space="0" w:color="auto"/>
              <w:right w:val="single" w:sz="4" w:space="0" w:color="auto"/>
            </w:tcBorders>
            <w:shd w:val="clear" w:color="auto" w:fill="auto"/>
            <w:noWrap/>
            <w:vAlign w:val="center"/>
            <w:hideMark/>
          </w:tcPr>
          <w:p w14:paraId="3E1668CE"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176" w:type="dxa"/>
            <w:tcBorders>
              <w:top w:val="nil"/>
              <w:left w:val="nil"/>
              <w:bottom w:val="single" w:sz="4" w:space="0" w:color="auto"/>
              <w:right w:val="single" w:sz="4" w:space="0" w:color="auto"/>
            </w:tcBorders>
            <w:shd w:val="clear" w:color="auto" w:fill="auto"/>
            <w:noWrap/>
            <w:vAlign w:val="center"/>
            <w:hideMark/>
          </w:tcPr>
          <w:p w14:paraId="7CBF7B20"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single" w:sz="4" w:space="0" w:color="auto"/>
              <w:right w:val="single" w:sz="4" w:space="0" w:color="auto"/>
            </w:tcBorders>
            <w:shd w:val="clear" w:color="auto" w:fill="auto"/>
            <w:noWrap/>
            <w:vAlign w:val="center"/>
            <w:hideMark/>
          </w:tcPr>
          <w:p w14:paraId="58E38817"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000000" w:fill="BFBFBF"/>
            <w:noWrap/>
            <w:vAlign w:val="center"/>
            <w:hideMark/>
          </w:tcPr>
          <w:p w14:paraId="2BE8B1C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-23.437</w:t>
            </w:r>
          </w:p>
        </w:tc>
        <w:tc>
          <w:tcPr>
            <w:tcW w:w="883" w:type="dxa"/>
            <w:tcBorders>
              <w:top w:val="nil"/>
              <w:left w:val="nil"/>
              <w:bottom w:val="single" w:sz="4" w:space="0" w:color="auto"/>
              <w:right w:val="single" w:sz="4" w:space="0" w:color="auto"/>
            </w:tcBorders>
            <w:shd w:val="clear" w:color="auto" w:fill="auto"/>
            <w:noWrap/>
            <w:vAlign w:val="center"/>
            <w:hideMark/>
          </w:tcPr>
          <w:p w14:paraId="18F9B7FA"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3F13B5A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025" w:type="dxa"/>
            <w:tcBorders>
              <w:top w:val="nil"/>
              <w:left w:val="nil"/>
              <w:bottom w:val="single" w:sz="4" w:space="0" w:color="auto"/>
              <w:right w:val="single" w:sz="8" w:space="0" w:color="auto"/>
            </w:tcBorders>
            <w:shd w:val="clear" w:color="000000" w:fill="BFBFBF"/>
            <w:noWrap/>
            <w:vAlign w:val="center"/>
            <w:hideMark/>
          </w:tcPr>
          <w:p w14:paraId="722BCA16"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-23.437</w:t>
            </w:r>
          </w:p>
        </w:tc>
      </w:tr>
      <w:tr w:rsidR="0093099B" w14:paraId="55C38278" w14:textId="77777777" w:rsidTr="00AC33E0">
        <w:trPr>
          <w:trHeight w:val="638"/>
        </w:trPr>
        <w:tc>
          <w:tcPr>
            <w:tcW w:w="1951" w:type="dxa"/>
            <w:tcBorders>
              <w:top w:val="nil"/>
              <w:left w:val="single" w:sz="8" w:space="0" w:color="auto"/>
              <w:bottom w:val="single" w:sz="8" w:space="0" w:color="auto"/>
              <w:right w:val="single" w:sz="4" w:space="0" w:color="auto"/>
            </w:tcBorders>
            <w:shd w:val="clear" w:color="000000" w:fill="BFBFBF"/>
            <w:vAlign w:val="center"/>
            <w:hideMark/>
          </w:tcPr>
          <w:p w14:paraId="0753225E" w14:textId="77777777" w:rsidR="00AC33E0" w:rsidRPr="00BA3F89" w:rsidRDefault="00AC33E0" w:rsidP="00AC33E0">
            <w:pPr>
              <w:autoSpaceDE/>
              <w:autoSpaceDN/>
              <w:adjustRightInd/>
              <w:spacing w:after="0"/>
              <w:jc w:val="left"/>
              <w:rPr>
                <w:rFonts w:eastAsia="Times New Roman" w:cs="Arial"/>
                <w:b/>
                <w:bCs/>
                <w:sz w:val="16"/>
                <w:szCs w:val="16"/>
                <w:lang w:eastAsia="en-GB"/>
              </w:rPr>
            </w:pPr>
            <w:r w:rsidRPr="00BA3F89">
              <w:rPr>
                <w:rFonts w:eastAsia="Times New Roman" w:cs="Arial"/>
                <w:b/>
                <w:bCs/>
                <w:sz w:val="16"/>
                <w:szCs w:val="16"/>
                <w:lang w:eastAsia="en-GB"/>
              </w:rPr>
              <w:t>SUB TOTAL - COUNTY FUND</w:t>
            </w:r>
          </w:p>
        </w:tc>
        <w:tc>
          <w:tcPr>
            <w:tcW w:w="1284" w:type="dxa"/>
            <w:tcBorders>
              <w:top w:val="nil"/>
              <w:left w:val="nil"/>
              <w:bottom w:val="single" w:sz="8" w:space="0" w:color="auto"/>
              <w:right w:val="single" w:sz="4" w:space="0" w:color="auto"/>
            </w:tcBorders>
            <w:shd w:val="clear" w:color="000000" w:fill="BFBFBF"/>
            <w:noWrap/>
            <w:vAlign w:val="center"/>
            <w:hideMark/>
          </w:tcPr>
          <w:p w14:paraId="1B5A1C0F"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-23.437</w:t>
            </w:r>
          </w:p>
        </w:tc>
        <w:tc>
          <w:tcPr>
            <w:tcW w:w="1276" w:type="dxa"/>
            <w:tcBorders>
              <w:top w:val="nil"/>
              <w:left w:val="nil"/>
              <w:bottom w:val="single" w:sz="8" w:space="0" w:color="auto"/>
              <w:right w:val="single" w:sz="4" w:space="0" w:color="auto"/>
            </w:tcBorders>
            <w:shd w:val="clear" w:color="000000" w:fill="BFBFBF"/>
            <w:noWrap/>
            <w:vAlign w:val="center"/>
            <w:hideMark/>
          </w:tcPr>
          <w:p w14:paraId="6AF32FDB"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1176" w:type="dxa"/>
            <w:tcBorders>
              <w:top w:val="nil"/>
              <w:left w:val="nil"/>
              <w:bottom w:val="single" w:sz="8" w:space="0" w:color="auto"/>
              <w:right w:val="single" w:sz="4" w:space="0" w:color="auto"/>
            </w:tcBorders>
            <w:shd w:val="clear" w:color="000000" w:fill="BFBFBF"/>
            <w:noWrap/>
            <w:vAlign w:val="center"/>
            <w:hideMark/>
          </w:tcPr>
          <w:p w14:paraId="0E7FDE8C"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901" w:type="dxa"/>
            <w:tcBorders>
              <w:top w:val="nil"/>
              <w:left w:val="nil"/>
              <w:bottom w:val="single" w:sz="8" w:space="0" w:color="auto"/>
              <w:right w:val="single" w:sz="4" w:space="0" w:color="auto"/>
            </w:tcBorders>
            <w:shd w:val="clear" w:color="000000" w:fill="BFBFBF"/>
            <w:noWrap/>
            <w:vAlign w:val="center"/>
            <w:hideMark/>
          </w:tcPr>
          <w:p w14:paraId="5A89493F"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1275" w:type="dxa"/>
            <w:tcBorders>
              <w:top w:val="nil"/>
              <w:left w:val="nil"/>
              <w:bottom w:val="single" w:sz="8" w:space="0" w:color="auto"/>
              <w:right w:val="single" w:sz="4" w:space="0" w:color="auto"/>
            </w:tcBorders>
            <w:shd w:val="clear" w:color="000000" w:fill="BFBFBF"/>
            <w:noWrap/>
            <w:vAlign w:val="center"/>
            <w:hideMark/>
          </w:tcPr>
          <w:p w14:paraId="5FCBCC0D"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-23.437</w:t>
            </w:r>
          </w:p>
        </w:tc>
        <w:tc>
          <w:tcPr>
            <w:tcW w:w="883" w:type="dxa"/>
            <w:tcBorders>
              <w:top w:val="nil"/>
              <w:left w:val="nil"/>
              <w:bottom w:val="single" w:sz="8" w:space="0" w:color="auto"/>
              <w:right w:val="single" w:sz="4" w:space="0" w:color="auto"/>
            </w:tcBorders>
            <w:shd w:val="clear" w:color="000000" w:fill="BFBFBF"/>
            <w:noWrap/>
            <w:vAlign w:val="center"/>
            <w:hideMark/>
          </w:tcPr>
          <w:p w14:paraId="28600A95"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1134" w:type="dxa"/>
            <w:tcBorders>
              <w:top w:val="nil"/>
              <w:left w:val="nil"/>
              <w:bottom w:val="single" w:sz="8" w:space="0" w:color="auto"/>
              <w:right w:val="single" w:sz="4" w:space="0" w:color="auto"/>
            </w:tcBorders>
            <w:shd w:val="clear" w:color="000000" w:fill="BFBFBF"/>
            <w:noWrap/>
            <w:vAlign w:val="center"/>
            <w:hideMark/>
          </w:tcPr>
          <w:p w14:paraId="0782B346"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1025" w:type="dxa"/>
            <w:tcBorders>
              <w:top w:val="nil"/>
              <w:left w:val="nil"/>
              <w:bottom w:val="single" w:sz="8" w:space="0" w:color="auto"/>
              <w:right w:val="single" w:sz="8" w:space="0" w:color="auto"/>
            </w:tcBorders>
            <w:shd w:val="clear" w:color="000000" w:fill="BFBFBF"/>
            <w:noWrap/>
            <w:vAlign w:val="center"/>
            <w:hideMark/>
          </w:tcPr>
          <w:p w14:paraId="3C24404C"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-23.437</w:t>
            </w:r>
          </w:p>
        </w:tc>
      </w:tr>
      <w:tr w:rsidR="0093099B" w14:paraId="0D9E41CE" w14:textId="77777777" w:rsidTr="00AC33E0">
        <w:trPr>
          <w:trHeight w:val="638"/>
        </w:trPr>
        <w:tc>
          <w:tcPr>
            <w:tcW w:w="1951" w:type="dxa"/>
            <w:tcBorders>
              <w:top w:val="nil"/>
              <w:left w:val="single" w:sz="8" w:space="0" w:color="auto"/>
              <w:bottom w:val="single" w:sz="4" w:space="0" w:color="auto"/>
              <w:right w:val="single" w:sz="4" w:space="0" w:color="auto"/>
            </w:tcBorders>
            <w:shd w:val="clear" w:color="auto" w:fill="auto"/>
            <w:vAlign w:val="center"/>
            <w:hideMark/>
          </w:tcPr>
          <w:p w14:paraId="48710DC9"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Strategic Investment Reserve</w:t>
            </w:r>
          </w:p>
        </w:tc>
        <w:tc>
          <w:tcPr>
            <w:tcW w:w="1284" w:type="dxa"/>
            <w:tcBorders>
              <w:top w:val="nil"/>
              <w:left w:val="nil"/>
              <w:bottom w:val="single" w:sz="4" w:space="0" w:color="auto"/>
              <w:right w:val="single" w:sz="4" w:space="0" w:color="auto"/>
            </w:tcBorders>
            <w:shd w:val="clear" w:color="auto" w:fill="auto"/>
            <w:noWrap/>
            <w:vAlign w:val="center"/>
            <w:hideMark/>
          </w:tcPr>
          <w:p w14:paraId="342AA9D8"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-2.096</w:t>
            </w:r>
          </w:p>
        </w:tc>
        <w:tc>
          <w:tcPr>
            <w:tcW w:w="1276" w:type="dxa"/>
            <w:tcBorders>
              <w:top w:val="nil"/>
              <w:left w:val="nil"/>
              <w:bottom w:val="single" w:sz="4" w:space="0" w:color="auto"/>
              <w:right w:val="single" w:sz="4" w:space="0" w:color="auto"/>
            </w:tcBorders>
            <w:shd w:val="clear" w:color="auto" w:fill="auto"/>
            <w:noWrap/>
            <w:vAlign w:val="center"/>
            <w:hideMark/>
          </w:tcPr>
          <w:p w14:paraId="63C2846E"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-0.646</w:t>
            </w:r>
          </w:p>
        </w:tc>
        <w:tc>
          <w:tcPr>
            <w:tcW w:w="1176" w:type="dxa"/>
            <w:tcBorders>
              <w:top w:val="nil"/>
              <w:left w:val="nil"/>
              <w:bottom w:val="single" w:sz="4" w:space="0" w:color="auto"/>
              <w:right w:val="single" w:sz="4" w:space="0" w:color="auto"/>
            </w:tcBorders>
            <w:shd w:val="clear" w:color="auto" w:fill="auto"/>
            <w:noWrap/>
            <w:vAlign w:val="center"/>
            <w:hideMark/>
          </w:tcPr>
          <w:p w14:paraId="385F5C4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single" w:sz="4" w:space="0" w:color="auto"/>
              <w:right w:val="single" w:sz="4" w:space="0" w:color="auto"/>
            </w:tcBorders>
            <w:shd w:val="clear" w:color="auto" w:fill="auto"/>
            <w:noWrap/>
            <w:vAlign w:val="center"/>
            <w:hideMark/>
          </w:tcPr>
          <w:p w14:paraId="3D650F34"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14:paraId="690502D3"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-2.742</w:t>
            </w:r>
          </w:p>
        </w:tc>
        <w:tc>
          <w:tcPr>
            <w:tcW w:w="883" w:type="dxa"/>
            <w:tcBorders>
              <w:top w:val="nil"/>
              <w:left w:val="nil"/>
              <w:bottom w:val="single" w:sz="4" w:space="0" w:color="auto"/>
              <w:right w:val="single" w:sz="4" w:space="0" w:color="auto"/>
            </w:tcBorders>
            <w:shd w:val="clear" w:color="auto" w:fill="auto"/>
            <w:noWrap/>
            <w:vAlign w:val="center"/>
            <w:hideMark/>
          </w:tcPr>
          <w:p w14:paraId="004A36B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1.596</w:t>
            </w:r>
          </w:p>
        </w:tc>
        <w:tc>
          <w:tcPr>
            <w:tcW w:w="1134" w:type="dxa"/>
            <w:tcBorders>
              <w:top w:val="nil"/>
              <w:left w:val="nil"/>
              <w:bottom w:val="single" w:sz="4" w:space="0" w:color="auto"/>
              <w:right w:val="single" w:sz="4" w:space="0" w:color="auto"/>
            </w:tcBorders>
            <w:shd w:val="clear" w:color="auto" w:fill="auto"/>
            <w:noWrap/>
            <w:vAlign w:val="center"/>
            <w:hideMark/>
          </w:tcPr>
          <w:p w14:paraId="3A20D634"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0.146</w:t>
            </w:r>
          </w:p>
        </w:tc>
        <w:tc>
          <w:tcPr>
            <w:tcW w:w="1025" w:type="dxa"/>
            <w:tcBorders>
              <w:top w:val="nil"/>
              <w:left w:val="nil"/>
              <w:bottom w:val="single" w:sz="4" w:space="0" w:color="auto"/>
              <w:right w:val="single" w:sz="8" w:space="0" w:color="auto"/>
            </w:tcBorders>
            <w:shd w:val="clear" w:color="000000" w:fill="BFBFBF"/>
            <w:noWrap/>
            <w:vAlign w:val="center"/>
            <w:hideMark/>
          </w:tcPr>
          <w:p w14:paraId="18C661A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-1.000</w:t>
            </w:r>
          </w:p>
        </w:tc>
      </w:tr>
      <w:tr w:rsidR="0093099B" w14:paraId="5CCED845" w14:textId="77777777" w:rsidTr="00AC33E0">
        <w:trPr>
          <w:trHeight w:val="638"/>
        </w:trPr>
        <w:tc>
          <w:tcPr>
            <w:tcW w:w="1951" w:type="dxa"/>
            <w:tcBorders>
              <w:top w:val="nil"/>
              <w:left w:val="single" w:sz="8" w:space="0" w:color="auto"/>
              <w:bottom w:val="single" w:sz="4" w:space="0" w:color="auto"/>
              <w:right w:val="single" w:sz="4" w:space="0" w:color="auto"/>
            </w:tcBorders>
            <w:shd w:val="clear" w:color="auto" w:fill="auto"/>
            <w:vAlign w:val="center"/>
            <w:hideMark/>
          </w:tcPr>
          <w:p w14:paraId="0B4F3D67"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Downsizing Reserve</w:t>
            </w:r>
          </w:p>
        </w:tc>
        <w:tc>
          <w:tcPr>
            <w:tcW w:w="1284" w:type="dxa"/>
            <w:tcBorders>
              <w:top w:val="nil"/>
              <w:left w:val="nil"/>
              <w:bottom w:val="single" w:sz="4" w:space="0" w:color="auto"/>
              <w:right w:val="single" w:sz="4" w:space="0" w:color="auto"/>
            </w:tcBorders>
            <w:shd w:val="clear" w:color="auto" w:fill="auto"/>
            <w:noWrap/>
            <w:vAlign w:val="center"/>
            <w:hideMark/>
          </w:tcPr>
          <w:p w14:paraId="79F3496B"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-7.445</w:t>
            </w:r>
          </w:p>
        </w:tc>
        <w:tc>
          <w:tcPr>
            <w:tcW w:w="1276" w:type="dxa"/>
            <w:tcBorders>
              <w:top w:val="nil"/>
              <w:left w:val="nil"/>
              <w:bottom w:val="single" w:sz="4" w:space="0" w:color="auto"/>
              <w:right w:val="single" w:sz="4" w:space="0" w:color="auto"/>
            </w:tcBorders>
            <w:shd w:val="clear" w:color="auto" w:fill="auto"/>
            <w:noWrap/>
            <w:vAlign w:val="center"/>
            <w:hideMark/>
          </w:tcPr>
          <w:p w14:paraId="05548623"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4.605</w:t>
            </w:r>
          </w:p>
        </w:tc>
        <w:tc>
          <w:tcPr>
            <w:tcW w:w="1176" w:type="dxa"/>
            <w:tcBorders>
              <w:top w:val="nil"/>
              <w:left w:val="nil"/>
              <w:bottom w:val="single" w:sz="4" w:space="0" w:color="auto"/>
              <w:right w:val="single" w:sz="4" w:space="0" w:color="auto"/>
            </w:tcBorders>
            <w:shd w:val="clear" w:color="auto" w:fill="auto"/>
            <w:noWrap/>
            <w:vAlign w:val="center"/>
            <w:hideMark/>
          </w:tcPr>
          <w:p w14:paraId="16AA8E5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single" w:sz="4" w:space="0" w:color="auto"/>
              <w:right w:val="single" w:sz="4" w:space="0" w:color="auto"/>
            </w:tcBorders>
            <w:shd w:val="clear" w:color="auto" w:fill="auto"/>
            <w:noWrap/>
            <w:vAlign w:val="center"/>
            <w:hideMark/>
          </w:tcPr>
          <w:p w14:paraId="2824284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000000" w:fill="BFBFBF"/>
            <w:noWrap/>
            <w:vAlign w:val="center"/>
            <w:hideMark/>
          </w:tcPr>
          <w:p w14:paraId="0E290E5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-2.840</w:t>
            </w:r>
          </w:p>
        </w:tc>
        <w:tc>
          <w:tcPr>
            <w:tcW w:w="883" w:type="dxa"/>
            <w:tcBorders>
              <w:top w:val="nil"/>
              <w:left w:val="nil"/>
              <w:bottom w:val="single" w:sz="4" w:space="0" w:color="auto"/>
              <w:right w:val="single" w:sz="4" w:space="0" w:color="auto"/>
            </w:tcBorders>
            <w:shd w:val="clear" w:color="auto" w:fill="auto"/>
            <w:noWrap/>
            <w:vAlign w:val="center"/>
            <w:hideMark/>
          </w:tcPr>
          <w:p w14:paraId="5819144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2.840</w:t>
            </w:r>
          </w:p>
        </w:tc>
        <w:tc>
          <w:tcPr>
            <w:tcW w:w="1134" w:type="dxa"/>
            <w:tcBorders>
              <w:top w:val="nil"/>
              <w:left w:val="nil"/>
              <w:bottom w:val="single" w:sz="4" w:space="0" w:color="auto"/>
              <w:right w:val="single" w:sz="4" w:space="0" w:color="auto"/>
            </w:tcBorders>
            <w:shd w:val="clear" w:color="auto" w:fill="auto"/>
            <w:noWrap/>
            <w:vAlign w:val="center"/>
            <w:hideMark/>
          </w:tcPr>
          <w:p w14:paraId="552C93E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025" w:type="dxa"/>
            <w:tcBorders>
              <w:top w:val="nil"/>
              <w:left w:val="nil"/>
              <w:bottom w:val="single" w:sz="4" w:space="0" w:color="auto"/>
              <w:right w:val="single" w:sz="8" w:space="0" w:color="auto"/>
            </w:tcBorders>
            <w:shd w:val="clear" w:color="000000" w:fill="BFBFBF"/>
            <w:noWrap/>
            <w:vAlign w:val="center"/>
            <w:hideMark/>
          </w:tcPr>
          <w:p w14:paraId="2A320AA3"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r>
      <w:tr w:rsidR="0093099B" w14:paraId="6A1B4A33" w14:textId="77777777" w:rsidTr="00AC33E0">
        <w:trPr>
          <w:trHeight w:val="638"/>
        </w:trPr>
        <w:tc>
          <w:tcPr>
            <w:tcW w:w="1951" w:type="dxa"/>
            <w:tcBorders>
              <w:top w:val="nil"/>
              <w:left w:val="single" w:sz="8" w:space="0" w:color="auto"/>
              <w:bottom w:val="single" w:sz="4" w:space="0" w:color="auto"/>
              <w:right w:val="single" w:sz="4" w:space="0" w:color="auto"/>
            </w:tcBorders>
            <w:shd w:val="clear" w:color="auto" w:fill="auto"/>
            <w:vAlign w:val="center"/>
            <w:hideMark/>
          </w:tcPr>
          <w:p w14:paraId="064BACBB"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 xml:space="preserve">Risk Management Reserve </w:t>
            </w:r>
          </w:p>
        </w:tc>
        <w:tc>
          <w:tcPr>
            <w:tcW w:w="1284" w:type="dxa"/>
            <w:tcBorders>
              <w:top w:val="nil"/>
              <w:left w:val="nil"/>
              <w:bottom w:val="single" w:sz="4" w:space="0" w:color="auto"/>
              <w:right w:val="single" w:sz="4" w:space="0" w:color="auto"/>
            </w:tcBorders>
            <w:shd w:val="clear" w:color="auto" w:fill="auto"/>
            <w:noWrap/>
            <w:vAlign w:val="center"/>
            <w:hideMark/>
          </w:tcPr>
          <w:p w14:paraId="202E375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-2.804</w:t>
            </w:r>
          </w:p>
        </w:tc>
        <w:tc>
          <w:tcPr>
            <w:tcW w:w="1276" w:type="dxa"/>
            <w:tcBorders>
              <w:top w:val="nil"/>
              <w:left w:val="nil"/>
              <w:bottom w:val="single" w:sz="4" w:space="0" w:color="auto"/>
              <w:right w:val="single" w:sz="4" w:space="0" w:color="auto"/>
            </w:tcBorders>
            <w:shd w:val="clear" w:color="auto" w:fill="auto"/>
            <w:noWrap/>
            <w:vAlign w:val="center"/>
            <w:hideMark/>
          </w:tcPr>
          <w:p w14:paraId="280E8B75"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1.203</w:t>
            </w:r>
          </w:p>
        </w:tc>
        <w:tc>
          <w:tcPr>
            <w:tcW w:w="1176" w:type="dxa"/>
            <w:tcBorders>
              <w:top w:val="nil"/>
              <w:left w:val="nil"/>
              <w:bottom w:val="single" w:sz="4" w:space="0" w:color="auto"/>
              <w:right w:val="single" w:sz="4" w:space="0" w:color="auto"/>
            </w:tcBorders>
            <w:shd w:val="clear" w:color="auto" w:fill="auto"/>
            <w:noWrap/>
            <w:vAlign w:val="center"/>
            <w:hideMark/>
          </w:tcPr>
          <w:p w14:paraId="5108C279"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single" w:sz="4" w:space="0" w:color="auto"/>
              <w:right w:val="single" w:sz="4" w:space="0" w:color="auto"/>
            </w:tcBorders>
            <w:shd w:val="clear" w:color="auto" w:fill="auto"/>
            <w:noWrap/>
            <w:vAlign w:val="center"/>
            <w:hideMark/>
          </w:tcPr>
          <w:p w14:paraId="581973E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000000" w:fill="BFBFBF"/>
            <w:noWrap/>
            <w:vAlign w:val="center"/>
            <w:hideMark/>
          </w:tcPr>
          <w:p w14:paraId="63810803"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-1.601</w:t>
            </w:r>
          </w:p>
        </w:tc>
        <w:tc>
          <w:tcPr>
            <w:tcW w:w="883" w:type="dxa"/>
            <w:tcBorders>
              <w:top w:val="nil"/>
              <w:left w:val="nil"/>
              <w:bottom w:val="single" w:sz="4" w:space="0" w:color="auto"/>
              <w:right w:val="single" w:sz="4" w:space="0" w:color="auto"/>
            </w:tcBorders>
            <w:shd w:val="clear" w:color="auto" w:fill="auto"/>
            <w:noWrap/>
            <w:vAlign w:val="center"/>
            <w:hideMark/>
          </w:tcPr>
          <w:p w14:paraId="681D4EC7"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0.800</w:t>
            </w:r>
          </w:p>
        </w:tc>
        <w:tc>
          <w:tcPr>
            <w:tcW w:w="1134" w:type="dxa"/>
            <w:tcBorders>
              <w:top w:val="nil"/>
              <w:left w:val="nil"/>
              <w:bottom w:val="single" w:sz="4" w:space="0" w:color="auto"/>
              <w:right w:val="single" w:sz="4" w:space="0" w:color="auto"/>
            </w:tcBorders>
            <w:shd w:val="clear" w:color="auto" w:fill="auto"/>
            <w:noWrap/>
            <w:vAlign w:val="center"/>
            <w:hideMark/>
          </w:tcPr>
          <w:p w14:paraId="47641384"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0.800</w:t>
            </w:r>
          </w:p>
        </w:tc>
        <w:tc>
          <w:tcPr>
            <w:tcW w:w="1025" w:type="dxa"/>
            <w:tcBorders>
              <w:top w:val="nil"/>
              <w:left w:val="nil"/>
              <w:bottom w:val="single" w:sz="4" w:space="0" w:color="auto"/>
              <w:right w:val="single" w:sz="8" w:space="0" w:color="auto"/>
            </w:tcBorders>
            <w:shd w:val="clear" w:color="000000" w:fill="BFBFBF"/>
            <w:noWrap/>
            <w:vAlign w:val="center"/>
            <w:hideMark/>
          </w:tcPr>
          <w:p w14:paraId="654D8605"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r>
      <w:tr w:rsidR="0093099B" w14:paraId="1F69F8F4" w14:textId="77777777" w:rsidTr="00AC33E0">
        <w:trPr>
          <w:trHeight w:val="638"/>
        </w:trPr>
        <w:tc>
          <w:tcPr>
            <w:tcW w:w="1951" w:type="dxa"/>
            <w:tcBorders>
              <w:top w:val="nil"/>
              <w:left w:val="single" w:sz="8" w:space="0" w:color="auto"/>
              <w:bottom w:val="single" w:sz="4" w:space="0" w:color="auto"/>
              <w:right w:val="single" w:sz="4" w:space="0" w:color="auto"/>
            </w:tcBorders>
            <w:shd w:val="clear" w:color="auto" w:fill="auto"/>
            <w:vAlign w:val="center"/>
            <w:hideMark/>
          </w:tcPr>
          <w:p w14:paraId="33FA854F"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Transitional Reserve</w:t>
            </w:r>
          </w:p>
        </w:tc>
        <w:tc>
          <w:tcPr>
            <w:tcW w:w="1284" w:type="dxa"/>
            <w:tcBorders>
              <w:top w:val="nil"/>
              <w:left w:val="nil"/>
              <w:bottom w:val="single" w:sz="4" w:space="0" w:color="auto"/>
              <w:right w:val="single" w:sz="4" w:space="0" w:color="auto"/>
            </w:tcBorders>
            <w:shd w:val="clear" w:color="auto" w:fill="auto"/>
            <w:noWrap/>
            <w:vAlign w:val="center"/>
            <w:hideMark/>
          </w:tcPr>
          <w:p w14:paraId="2CD8E810"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-164.254</w:t>
            </w:r>
          </w:p>
        </w:tc>
        <w:tc>
          <w:tcPr>
            <w:tcW w:w="1276" w:type="dxa"/>
            <w:tcBorders>
              <w:top w:val="nil"/>
              <w:left w:val="nil"/>
              <w:bottom w:val="single" w:sz="4" w:space="0" w:color="auto"/>
              <w:right w:val="single" w:sz="4" w:space="0" w:color="auto"/>
            </w:tcBorders>
            <w:shd w:val="clear" w:color="auto" w:fill="auto"/>
            <w:noWrap/>
            <w:vAlign w:val="center"/>
            <w:hideMark/>
          </w:tcPr>
          <w:p w14:paraId="184B88C7"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14.003</w:t>
            </w:r>
          </w:p>
        </w:tc>
        <w:tc>
          <w:tcPr>
            <w:tcW w:w="1176" w:type="dxa"/>
            <w:tcBorders>
              <w:top w:val="nil"/>
              <w:left w:val="nil"/>
              <w:bottom w:val="single" w:sz="4" w:space="0" w:color="auto"/>
              <w:right w:val="single" w:sz="4" w:space="0" w:color="auto"/>
            </w:tcBorders>
            <w:shd w:val="clear" w:color="auto" w:fill="auto"/>
            <w:noWrap/>
            <w:vAlign w:val="center"/>
            <w:hideMark/>
          </w:tcPr>
          <w:p w14:paraId="24CB0167"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single" w:sz="4" w:space="0" w:color="auto"/>
              <w:right w:val="single" w:sz="4" w:space="0" w:color="auto"/>
            </w:tcBorders>
            <w:shd w:val="clear" w:color="auto" w:fill="auto"/>
            <w:noWrap/>
            <w:vAlign w:val="center"/>
            <w:hideMark/>
          </w:tcPr>
          <w:p w14:paraId="1B018E5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000000" w:fill="BFBFBF"/>
            <w:noWrap/>
            <w:vAlign w:val="center"/>
            <w:hideMark/>
          </w:tcPr>
          <w:p w14:paraId="25BF0CE8"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-150.250</w:t>
            </w:r>
          </w:p>
        </w:tc>
        <w:tc>
          <w:tcPr>
            <w:tcW w:w="883" w:type="dxa"/>
            <w:tcBorders>
              <w:top w:val="nil"/>
              <w:left w:val="nil"/>
              <w:bottom w:val="single" w:sz="4" w:space="0" w:color="auto"/>
              <w:right w:val="single" w:sz="4" w:space="0" w:color="auto"/>
            </w:tcBorders>
            <w:shd w:val="clear" w:color="auto" w:fill="auto"/>
            <w:noWrap/>
            <w:vAlign w:val="center"/>
            <w:hideMark/>
          </w:tcPr>
          <w:p w14:paraId="2D5EDD93"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2.452</w:t>
            </w:r>
          </w:p>
        </w:tc>
        <w:tc>
          <w:tcPr>
            <w:tcW w:w="1134" w:type="dxa"/>
            <w:tcBorders>
              <w:top w:val="nil"/>
              <w:left w:val="nil"/>
              <w:bottom w:val="single" w:sz="4" w:space="0" w:color="auto"/>
              <w:right w:val="single" w:sz="4" w:space="0" w:color="auto"/>
            </w:tcBorders>
            <w:shd w:val="clear" w:color="auto" w:fill="auto"/>
            <w:noWrap/>
            <w:vAlign w:val="center"/>
            <w:hideMark/>
          </w:tcPr>
          <w:p w14:paraId="2B671A35"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0.304</w:t>
            </w:r>
          </w:p>
        </w:tc>
        <w:tc>
          <w:tcPr>
            <w:tcW w:w="1025" w:type="dxa"/>
            <w:tcBorders>
              <w:top w:val="nil"/>
              <w:left w:val="nil"/>
              <w:bottom w:val="single" w:sz="4" w:space="0" w:color="auto"/>
              <w:right w:val="single" w:sz="8" w:space="0" w:color="auto"/>
            </w:tcBorders>
            <w:shd w:val="clear" w:color="000000" w:fill="BFBFBF"/>
            <w:noWrap/>
            <w:vAlign w:val="center"/>
            <w:hideMark/>
          </w:tcPr>
          <w:p w14:paraId="2D6539D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-147.495</w:t>
            </w:r>
          </w:p>
        </w:tc>
      </w:tr>
      <w:tr w:rsidR="0093099B" w14:paraId="304F670D" w14:textId="77777777" w:rsidTr="00AC33E0">
        <w:trPr>
          <w:trHeight w:val="638"/>
        </w:trPr>
        <w:tc>
          <w:tcPr>
            <w:tcW w:w="1951" w:type="dxa"/>
            <w:tcBorders>
              <w:top w:val="nil"/>
              <w:left w:val="single" w:sz="8" w:space="0" w:color="auto"/>
              <w:bottom w:val="single" w:sz="4" w:space="0" w:color="auto"/>
              <w:right w:val="single" w:sz="4" w:space="0" w:color="auto"/>
            </w:tcBorders>
            <w:shd w:val="clear" w:color="auto" w:fill="auto"/>
            <w:vAlign w:val="center"/>
            <w:hideMark/>
          </w:tcPr>
          <w:p w14:paraId="3F80736B"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 xml:space="preserve">Service Reserves </w:t>
            </w:r>
          </w:p>
        </w:tc>
        <w:tc>
          <w:tcPr>
            <w:tcW w:w="1284" w:type="dxa"/>
            <w:tcBorders>
              <w:top w:val="nil"/>
              <w:left w:val="nil"/>
              <w:bottom w:val="single" w:sz="4" w:space="0" w:color="auto"/>
              <w:right w:val="single" w:sz="4" w:space="0" w:color="auto"/>
            </w:tcBorders>
            <w:shd w:val="clear" w:color="auto" w:fill="auto"/>
            <w:noWrap/>
            <w:vAlign w:val="center"/>
            <w:hideMark/>
          </w:tcPr>
          <w:p w14:paraId="3DD8B45A"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-13.251</w:t>
            </w:r>
          </w:p>
        </w:tc>
        <w:tc>
          <w:tcPr>
            <w:tcW w:w="1276" w:type="dxa"/>
            <w:tcBorders>
              <w:top w:val="nil"/>
              <w:left w:val="nil"/>
              <w:bottom w:val="single" w:sz="4" w:space="0" w:color="auto"/>
              <w:right w:val="single" w:sz="4" w:space="0" w:color="auto"/>
            </w:tcBorders>
            <w:shd w:val="clear" w:color="auto" w:fill="auto"/>
            <w:noWrap/>
            <w:vAlign w:val="center"/>
            <w:hideMark/>
          </w:tcPr>
          <w:p w14:paraId="3D8BAA6D"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10.408</w:t>
            </w:r>
          </w:p>
        </w:tc>
        <w:tc>
          <w:tcPr>
            <w:tcW w:w="1176" w:type="dxa"/>
            <w:tcBorders>
              <w:top w:val="nil"/>
              <w:left w:val="nil"/>
              <w:bottom w:val="single" w:sz="4" w:space="0" w:color="auto"/>
              <w:right w:val="single" w:sz="4" w:space="0" w:color="auto"/>
            </w:tcBorders>
            <w:shd w:val="clear" w:color="auto" w:fill="auto"/>
            <w:noWrap/>
            <w:vAlign w:val="center"/>
            <w:hideMark/>
          </w:tcPr>
          <w:p w14:paraId="3215E73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single" w:sz="4" w:space="0" w:color="auto"/>
              <w:right w:val="single" w:sz="4" w:space="0" w:color="auto"/>
            </w:tcBorders>
            <w:shd w:val="clear" w:color="auto" w:fill="auto"/>
            <w:noWrap/>
            <w:vAlign w:val="center"/>
            <w:hideMark/>
          </w:tcPr>
          <w:p w14:paraId="0D5538F3"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000000" w:fill="BFBFBF"/>
            <w:noWrap/>
            <w:vAlign w:val="center"/>
            <w:hideMark/>
          </w:tcPr>
          <w:p w14:paraId="19768CA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-2.843</w:t>
            </w:r>
          </w:p>
        </w:tc>
        <w:tc>
          <w:tcPr>
            <w:tcW w:w="883" w:type="dxa"/>
            <w:tcBorders>
              <w:top w:val="nil"/>
              <w:left w:val="nil"/>
              <w:bottom w:val="single" w:sz="4" w:space="0" w:color="auto"/>
              <w:right w:val="single" w:sz="4" w:space="0" w:color="auto"/>
            </w:tcBorders>
            <w:shd w:val="clear" w:color="auto" w:fill="auto"/>
            <w:noWrap/>
            <w:vAlign w:val="center"/>
            <w:hideMark/>
          </w:tcPr>
          <w:p w14:paraId="73FFD735"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0.725</w:t>
            </w:r>
          </w:p>
        </w:tc>
        <w:tc>
          <w:tcPr>
            <w:tcW w:w="1134" w:type="dxa"/>
            <w:tcBorders>
              <w:top w:val="nil"/>
              <w:left w:val="nil"/>
              <w:bottom w:val="single" w:sz="4" w:space="0" w:color="auto"/>
              <w:right w:val="single" w:sz="4" w:space="0" w:color="auto"/>
            </w:tcBorders>
            <w:shd w:val="clear" w:color="auto" w:fill="auto"/>
            <w:noWrap/>
            <w:vAlign w:val="center"/>
            <w:hideMark/>
          </w:tcPr>
          <w:p w14:paraId="38F010F4"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0.547</w:t>
            </w:r>
          </w:p>
        </w:tc>
        <w:tc>
          <w:tcPr>
            <w:tcW w:w="1025" w:type="dxa"/>
            <w:tcBorders>
              <w:top w:val="nil"/>
              <w:left w:val="nil"/>
              <w:bottom w:val="single" w:sz="4" w:space="0" w:color="auto"/>
              <w:right w:val="single" w:sz="8" w:space="0" w:color="auto"/>
            </w:tcBorders>
            <w:shd w:val="clear" w:color="000000" w:fill="BFBFBF"/>
            <w:noWrap/>
            <w:vAlign w:val="center"/>
            <w:hideMark/>
          </w:tcPr>
          <w:p w14:paraId="6CC72E7D"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-1.571</w:t>
            </w:r>
          </w:p>
        </w:tc>
      </w:tr>
      <w:tr w:rsidR="0093099B" w14:paraId="0CDD97E8" w14:textId="77777777" w:rsidTr="00AC33E0">
        <w:trPr>
          <w:trHeight w:val="638"/>
        </w:trPr>
        <w:tc>
          <w:tcPr>
            <w:tcW w:w="1951" w:type="dxa"/>
            <w:tcBorders>
              <w:top w:val="nil"/>
              <w:left w:val="single" w:sz="8" w:space="0" w:color="auto"/>
              <w:bottom w:val="nil"/>
              <w:right w:val="single" w:sz="4" w:space="0" w:color="auto"/>
            </w:tcBorders>
            <w:shd w:val="clear" w:color="auto" w:fill="auto"/>
            <w:vAlign w:val="center"/>
            <w:hideMark/>
          </w:tcPr>
          <w:p w14:paraId="71311817"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Treasury Management Reserve</w:t>
            </w:r>
          </w:p>
        </w:tc>
        <w:tc>
          <w:tcPr>
            <w:tcW w:w="1284" w:type="dxa"/>
            <w:tcBorders>
              <w:top w:val="nil"/>
              <w:left w:val="nil"/>
              <w:bottom w:val="nil"/>
              <w:right w:val="single" w:sz="4" w:space="0" w:color="auto"/>
            </w:tcBorders>
            <w:shd w:val="clear" w:color="auto" w:fill="auto"/>
            <w:noWrap/>
            <w:vAlign w:val="center"/>
            <w:hideMark/>
          </w:tcPr>
          <w:p w14:paraId="0376174E"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-10.000</w:t>
            </w:r>
          </w:p>
        </w:tc>
        <w:tc>
          <w:tcPr>
            <w:tcW w:w="1276" w:type="dxa"/>
            <w:tcBorders>
              <w:top w:val="nil"/>
              <w:left w:val="nil"/>
              <w:bottom w:val="nil"/>
              <w:right w:val="single" w:sz="4" w:space="0" w:color="auto"/>
            </w:tcBorders>
            <w:shd w:val="clear" w:color="auto" w:fill="auto"/>
            <w:noWrap/>
            <w:vAlign w:val="center"/>
            <w:hideMark/>
          </w:tcPr>
          <w:p w14:paraId="6468C30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176" w:type="dxa"/>
            <w:tcBorders>
              <w:top w:val="nil"/>
              <w:left w:val="nil"/>
              <w:bottom w:val="nil"/>
              <w:right w:val="single" w:sz="4" w:space="0" w:color="auto"/>
            </w:tcBorders>
            <w:shd w:val="clear" w:color="auto" w:fill="auto"/>
            <w:noWrap/>
            <w:vAlign w:val="center"/>
            <w:hideMark/>
          </w:tcPr>
          <w:p w14:paraId="220DFBFF"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nil"/>
              <w:right w:val="single" w:sz="4" w:space="0" w:color="auto"/>
            </w:tcBorders>
            <w:shd w:val="clear" w:color="auto" w:fill="auto"/>
            <w:noWrap/>
            <w:vAlign w:val="center"/>
            <w:hideMark/>
          </w:tcPr>
          <w:p w14:paraId="0D89181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000000" w:fill="BFBFBF"/>
            <w:noWrap/>
            <w:vAlign w:val="center"/>
            <w:hideMark/>
          </w:tcPr>
          <w:p w14:paraId="5F6D0104"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-10.000</w:t>
            </w:r>
          </w:p>
        </w:tc>
        <w:tc>
          <w:tcPr>
            <w:tcW w:w="883" w:type="dxa"/>
            <w:tcBorders>
              <w:top w:val="nil"/>
              <w:left w:val="nil"/>
              <w:bottom w:val="nil"/>
              <w:right w:val="single" w:sz="4" w:space="0" w:color="auto"/>
            </w:tcBorders>
            <w:shd w:val="clear" w:color="auto" w:fill="auto"/>
            <w:noWrap/>
            <w:vAlign w:val="center"/>
            <w:hideMark/>
          </w:tcPr>
          <w:p w14:paraId="73CCE32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134" w:type="dxa"/>
            <w:tcBorders>
              <w:top w:val="nil"/>
              <w:left w:val="nil"/>
              <w:bottom w:val="nil"/>
              <w:right w:val="single" w:sz="4" w:space="0" w:color="auto"/>
            </w:tcBorders>
            <w:shd w:val="clear" w:color="auto" w:fill="auto"/>
            <w:noWrap/>
            <w:vAlign w:val="center"/>
            <w:hideMark/>
          </w:tcPr>
          <w:p w14:paraId="1633FE55"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025" w:type="dxa"/>
            <w:tcBorders>
              <w:top w:val="nil"/>
              <w:left w:val="nil"/>
              <w:bottom w:val="single" w:sz="4" w:space="0" w:color="auto"/>
              <w:right w:val="single" w:sz="8" w:space="0" w:color="auto"/>
            </w:tcBorders>
            <w:shd w:val="clear" w:color="000000" w:fill="BFBFBF"/>
            <w:noWrap/>
            <w:vAlign w:val="center"/>
            <w:hideMark/>
          </w:tcPr>
          <w:p w14:paraId="63B0B35B"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-10.000</w:t>
            </w:r>
          </w:p>
        </w:tc>
      </w:tr>
      <w:tr w:rsidR="0093099B" w14:paraId="4340873F" w14:textId="77777777" w:rsidTr="00AC33E0">
        <w:trPr>
          <w:trHeight w:val="638"/>
        </w:trPr>
        <w:tc>
          <w:tcPr>
            <w:tcW w:w="1951"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2C195DB3" w14:textId="77777777" w:rsidR="00AC33E0" w:rsidRPr="00BA3F89" w:rsidRDefault="00AC33E0" w:rsidP="00AC33E0">
            <w:pPr>
              <w:autoSpaceDE/>
              <w:autoSpaceDN/>
              <w:adjustRightInd/>
              <w:spacing w:after="0"/>
              <w:jc w:val="left"/>
              <w:rPr>
                <w:rFonts w:eastAsia="Times New Roman" w:cs="Arial"/>
                <w:b/>
                <w:bCs/>
                <w:sz w:val="16"/>
                <w:szCs w:val="16"/>
                <w:lang w:eastAsia="en-GB"/>
              </w:rPr>
            </w:pPr>
            <w:r w:rsidRPr="00BA3F89">
              <w:rPr>
                <w:rFonts w:eastAsia="Times New Roman" w:cs="Arial"/>
                <w:b/>
                <w:bCs/>
                <w:sz w:val="16"/>
                <w:szCs w:val="16"/>
                <w:lang w:eastAsia="en-GB"/>
              </w:rPr>
              <w:t>SUB TOTAL - LCC RESERVES</w:t>
            </w:r>
          </w:p>
        </w:tc>
        <w:tc>
          <w:tcPr>
            <w:tcW w:w="1284" w:type="dxa"/>
            <w:tcBorders>
              <w:top w:val="single" w:sz="4" w:space="0" w:color="auto"/>
              <w:left w:val="nil"/>
              <w:bottom w:val="single" w:sz="8" w:space="0" w:color="auto"/>
              <w:right w:val="single" w:sz="4" w:space="0" w:color="auto"/>
            </w:tcBorders>
            <w:shd w:val="clear" w:color="000000" w:fill="BFBFBF"/>
            <w:noWrap/>
            <w:vAlign w:val="center"/>
            <w:hideMark/>
          </w:tcPr>
          <w:p w14:paraId="642C5B44"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-199.850</w:t>
            </w:r>
          </w:p>
        </w:tc>
        <w:tc>
          <w:tcPr>
            <w:tcW w:w="1276" w:type="dxa"/>
            <w:tcBorders>
              <w:top w:val="single" w:sz="4" w:space="0" w:color="auto"/>
              <w:left w:val="nil"/>
              <w:bottom w:val="single" w:sz="8" w:space="0" w:color="auto"/>
              <w:right w:val="single" w:sz="4" w:space="0" w:color="auto"/>
            </w:tcBorders>
            <w:shd w:val="clear" w:color="000000" w:fill="BFBFBF"/>
            <w:noWrap/>
            <w:vAlign w:val="center"/>
            <w:hideMark/>
          </w:tcPr>
          <w:p w14:paraId="14B6253C"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29.574</w:t>
            </w:r>
          </w:p>
        </w:tc>
        <w:tc>
          <w:tcPr>
            <w:tcW w:w="1176" w:type="dxa"/>
            <w:tcBorders>
              <w:top w:val="single" w:sz="4" w:space="0" w:color="auto"/>
              <w:left w:val="nil"/>
              <w:bottom w:val="single" w:sz="8" w:space="0" w:color="auto"/>
              <w:right w:val="single" w:sz="4" w:space="0" w:color="auto"/>
            </w:tcBorders>
            <w:shd w:val="clear" w:color="000000" w:fill="BFBFBF"/>
            <w:noWrap/>
            <w:vAlign w:val="center"/>
            <w:hideMark/>
          </w:tcPr>
          <w:p w14:paraId="2ABF26FF"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901" w:type="dxa"/>
            <w:tcBorders>
              <w:top w:val="single" w:sz="4" w:space="0" w:color="auto"/>
              <w:left w:val="nil"/>
              <w:bottom w:val="single" w:sz="8" w:space="0" w:color="auto"/>
              <w:right w:val="single" w:sz="4" w:space="0" w:color="auto"/>
            </w:tcBorders>
            <w:shd w:val="clear" w:color="000000" w:fill="BFBFBF"/>
            <w:noWrap/>
            <w:vAlign w:val="center"/>
            <w:hideMark/>
          </w:tcPr>
          <w:p w14:paraId="0247C0F5"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1275" w:type="dxa"/>
            <w:tcBorders>
              <w:top w:val="nil"/>
              <w:left w:val="nil"/>
              <w:bottom w:val="single" w:sz="8" w:space="0" w:color="auto"/>
              <w:right w:val="single" w:sz="4" w:space="0" w:color="auto"/>
            </w:tcBorders>
            <w:shd w:val="clear" w:color="000000" w:fill="BFBFBF"/>
            <w:noWrap/>
            <w:vAlign w:val="center"/>
            <w:hideMark/>
          </w:tcPr>
          <w:p w14:paraId="15C232F3"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-170.276</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562953BE"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8.413</w:t>
            </w: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14:paraId="0A7E8B19"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1.797</w:t>
            </w:r>
          </w:p>
        </w:tc>
        <w:tc>
          <w:tcPr>
            <w:tcW w:w="1025" w:type="dxa"/>
            <w:tcBorders>
              <w:top w:val="nil"/>
              <w:left w:val="nil"/>
              <w:bottom w:val="single" w:sz="8" w:space="0" w:color="auto"/>
              <w:right w:val="single" w:sz="8" w:space="0" w:color="auto"/>
            </w:tcBorders>
            <w:shd w:val="clear" w:color="000000" w:fill="BFBFBF"/>
            <w:noWrap/>
            <w:vAlign w:val="center"/>
            <w:hideMark/>
          </w:tcPr>
          <w:p w14:paraId="33AB0737"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-160.066</w:t>
            </w:r>
          </w:p>
        </w:tc>
      </w:tr>
      <w:tr w:rsidR="0093099B" w14:paraId="74AFDA41" w14:textId="77777777" w:rsidTr="00AC33E0">
        <w:trPr>
          <w:trHeight w:val="638"/>
        </w:trPr>
        <w:tc>
          <w:tcPr>
            <w:tcW w:w="1951" w:type="dxa"/>
            <w:tcBorders>
              <w:top w:val="nil"/>
              <w:left w:val="single" w:sz="8" w:space="0" w:color="auto"/>
              <w:bottom w:val="single" w:sz="4" w:space="0" w:color="auto"/>
              <w:right w:val="single" w:sz="4" w:space="0" w:color="auto"/>
            </w:tcBorders>
            <w:shd w:val="clear" w:color="auto" w:fill="auto"/>
            <w:vAlign w:val="center"/>
            <w:hideMark/>
          </w:tcPr>
          <w:p w14:paraId="1D91538E" w14:textId="77777777" w:rsidR="00AC33E0" w:rsidRPr="00BA3F89" w:rsidRDefault="00AC33E0" w:rsidP="00AC33E0">
            <w:pPr>
              <w:autoSpaceDE/>
              <w:autoSpaceDN/>
              <w:adjustRightInd/>
              <w:spacing w:after="0"/>
              <w:jc w:val="left"/>
              <w:rPr>
                <w:rFonts w:eastAsia="Times New Roman" w:cs="Arial"/>
                <w:sz w:val="16"/>
                <w:szCs w:val="16"/>
                <w:lang w:eastAsia="en-GB"/>
              </w:rPr>
            </w:pPr>
            <w:r w:rsidRPr="00BA3F89">
              <w:rPr>
                <w:rFonts w:eastAsia="Times New Roman" w:cs="Arial"/>
                <w:sz w:val="16"/>
                <w:szCs w:val="16"/>
                <w:lang w:eastAsia="en-GB"/>
              </w:rPr>
              <w:t>Schools/Non-LCC Service Reserves</w:t>
            </w:r>
          </w:p>
        </w:tc>
        <w:tc>
          <w:tcPr>
            <w:tcW w:w="1284" w:type="dxa"/>
            <w:tcBorders>
              <w:top w:val="nil"/>
              <w:left w:val="nil"/>
              <w:bottom w:val="nil"/>
              <w:right w:val="single" w:sz="4" w:space="0" w:color="auto"/>
            </w:tcBorders>
            <w:shd w:val="clear" w:color="auto" w:fill="auto"/>
            <w:noWrap/>
            <w:vAlign w:val="center"/>
            <w:hideMark/>
          </w:tcPr>
          <w:p w14:paraId="6B3F35FE"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-17.528</w:t>
            </w:r>
          </w:p>
        </w:tc>
        <w:tc>
          <w:tcPr>
            <w:tcW w:w="1276" w:type="dxa"/>
            <w:tcBorders>
              <w:top w:val="nil"/>
              <w:left w:val="nil"/>
              <w:bottom w:val="nil"/>
              <w:right w:val="single" w:sz="4" w:space="0" w:color="auto"/>
            </w:tcBorders>
            <w:shd w:val="clear" w:color="auto" w:fill="auto"/>
            <w:noWrap/>
            <w:vAlign w:val="center"/>
            <w:hideMark/>
          </w:tcPr>
          <w:p w14:paraId="73072F15"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2.808</w:t>
            </w:r>
          </w:p>
        </w:tc>
        <w:tc>
          <w:tcPr>
            <w:tcW w:w="1176" w:type="dxa"/>
            <w:tcBorders>
              <w:top w:val="nil"/>
              <w:left w:val="nil"/>
              <w:bottom w:val="nil"/>
              <w:right w:val="single" w:sz="4" w:space="0" w:color="auto"/>
            </w:tcBorders>
            <w:shd w:val="clear" w:color="auto" w:fill="auto"/>
            <w:noWrap/>
            <w:vAlign w:val="center"/>
            <w:hideMark/>
          </w:tcPr>
          <w:p w14:paraId="75A6225A"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901" w:type="dxa"/>
            <w:tcBorders>
              <w:top w:val="nil"/>
              <w:left w:val="nil"/>
              <w:bottom w:val="nil"/>
              <w:right w:val="single" w:sz="4" w:space="0" w:color="auto"/>
            </w:tcBorders>
            <w:shd w:val="clear" w:color="auto" w:fill="auto"/>
            <w:noWrap/>
            <w:vAlign w:val="center"/>
            <w:hideMark/>
          </w:tcPr>
          <w:p w14:paraId="0180BBED"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0.000</w:t>
            </w:r>
          </w:p>
        </w:tc>
        <w:tc>
          <w:tcPr>
            <w:tcW w:w="1275" w:type="dxa"/>
            <w:tcBorders>
              <w:top w:val="nil"/>
              <w:left w:val="nil"/>
              <w:bottom w:val="single" w:sz="4" w:space="0" w:color="auto"/>
              <w:right w:val="single" w:sz="4" w:space="0" w:color="auto"/>
            </w:tcBorders>
            <w:shd w:val="clear" w:color="000000" w:fill="BFBFBF"/>
            <w:noWrap/>
            <w:vAlign w:val="center"/>
            <w:hideMark/>
          </w:tcPr>
          <w:p w14:paraId="42B635DC"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-14.720</w:t>
            </w:r>
          </w:p>
        </w:tc>
        <w:tc>
          <w:tcPr>
            <w:tcW w:w="883" w:type="dxa"/>
            <w:tcBorders>
              <w:top w:val="nil"/>
              <w:left w:val="nil"/>
              <w:bottom w:val="nil"/>
              <w:right w:val="single" w:sz="4" w:space="0" w:color="auto"/>
            </w:tcBorders>
            <w:shd w:val="clear" w:color="auto" w:fill="auto"/>
            <w:noWrap/>
            <w:vAlign w:val="center"/>
            <w:hideMark/>
          </w:tcPr>
          <w:p w14:paraId="633D0CB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-0.174</w:t>
            </w:r>
          </w:p>
        </w:tc>
        <w:tc>
          <w:tcPr>
            <w:tcW w:w="1134" w:type="dxa"/>
            <w:tcBorders>
              <w:top w:val="nil"/>
              <w:left w:val="nil"/>
              <w:bottom w:val="nil"/>
              <w:right w:val="single" w:sz="4" w:space="0" w:color="auto"/>
            </w:tcBorders>
            <w:shd w:val="clear" w:color="auto" w:fill="auto"/>
            <w:noWrap/>
            <w:vAlign w:val="center"/>
            <w:hideMark/>
          </w:tcPr>
          <w:p w14:paraId="381CCA74"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1.419</w:t>
            </w:r>
          </w:p>
        </w:tc>
        <w:tc>
          <w:tcPr>
            <w:tcW w:w="1025" w:type="dxa"/>
            <w:tcBorders>
              <w:top w:val="nil"/>
              <w:left w:val="nil"/>
              <w:bottom w:val="single" w:sz="4" w:space="0" w:color="auto"/>
              <w:right w:val="single" w:sz="8" w:space="0" w:color="auto"/>
            </w:tcBorders>
            <w:shd w:val="clear" w:color="000000" w:fill="BFBFBF"/>
            <w:noWrap/>
            <w:vAlign w:val="center"/>
            <w:hideMark/>
          </w:tcPr>
          <w:p w14:paraId="438F8A0D"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-13.475</w:t>
            </w:r>
          </w:p>
        </w:tc>
      </w:tr>
      <w:tr w:rsidR="0093099B" w14:paraId="1D6D2DD5" w14:textId="77777777" w:rsidTr="00AC33E0">
        <w:trPr>
          <w:trHeight w:val="420"/>
        </w:trPr>
        <w:tc>
          <w:tcPr>
            <w:tcW w:w="1951" w:type="dxa"/>
            <w:tcBorders>
              <w:top w:val="nil"/>
              <w:left w:val="single" w:sz="8" w:space="0" w:color="auto"/>
              <w:bottom w:val="single" w:sz="8" w:space="0" w:color="auto"/>
              <w:right w:val="single" w:sz="4" w:space="0" w:color="auto"/>
            </w:tcBorders>
            <w:shd w:val="clear" w:color="000000" w:fill="BFBFBF"/>
            <w:vAlign w:val="center"/>
            <w:hideMark/>
          </w:tcPr>
          <w:p w14:paraId="1954DF09" w14:textId="77777777" w:rsidR="00AC33E0" w:rsidRPr="00BA3F89" w:rsidRDefault="00AC33E0" w:rsidP="00AC33E0">
            <w:pPr>
              <w:autoSpaceDE/>
              <w:autoSpaceDN/>
              <w:adjustRightInd/>
              <w:spacing w:after="0"/>
              <w:jc w:val="left"/>
              <w:rPr>
                <w:rFonts w:eastAsia="Times New Roman" w:cs="Arial"/>
                <w:b/>
                <w:bCs/>
                <w:sz w:val="16"/>
                <w:szCs w:val="16"/>
                <w:lang w:eastAsia="en-GB"/>
              </w:rPr>
            </w:pPr>
            <w:r w:rsidRPr="00BA3F89">
              <w:rPr>
                <w:rFonts w:eastAsia="Times New Roman" w:cs="Arial"/>
                <w:b/>
                <w:bCs/>
                <w:sz w:val="16"/>
                <w:szCs w:val="16"/>
                <w:lang w:eastAsia="en-GB"/>
              </w:rPr>
              <w:t>SUB TOTAL SCHOOLS/NON LCC RESERVES</w:t>
            </w:r>
          </w:p>
        </w:tc>
        <w:tc>
          <w:tcPr>
            <w:tcW w:w="1284" w:type="dxa"/>
            <w:tcBorders>
              <w:top w:val="single" w:sz="4" w:space="0" w:color="auto"/>
              <w:left w:val="nil"/>
              <w:bottom w:val="single" w:sz="8" w:space="0" w:color="auto"/>
              <w:right w:val="single" w:sz="4" w:space="0" w:color="auto"/>
            </w:tcBorders>
            <w:shd w:val="clear" w:color="000000" w:fill="BFBFBF"/>
            <w:noWrap/>
            <w:vAlign w:val="center"/>
            <w:hideMark/>
          </w:tcPr>
          <w:p w14:paraId="67FD13A4"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-17.528</w:t>
            </w:r>
          </w:p>
        </w:tc>
        <w:tc>
          <w:tcPr>
            <w:tcW w:w="1276" w:type="dxa"/>
            <w:tcBorders>
              <w:top w:val="single" w:sz="4" w:space="0" w:color="auto"/>
              <w:left w:val="nil"/>
              <w:bottom w:val="single" w:sz="8" w:space="0" w:color="auto"/>
              <w:right w:val="single" w:sz="4" w:space="0" w:color="auto"/>
            </w:tcBorders>
            <w:shd w:val="clear" w:color="000000" w:fill="BFBFBF"/>
            <w:noWrap/>
            <w:vAlign w:val="center"/>
            <w:hideMark/>
          </w:tcPr>
          <w:p w14:paraId="72E75D55"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2.808</w:t>
            </w:r>
          </w:p>
        </w:tc>
        <w:tc>
          <w:tcPr>
            <w:tcW w:w="1176" w:type="dxa"/>
            <w:tcBorders>
              <w:top w:val="single" w:sz="4" w:space="0" w:color="auto"/>
              <w:left w:val="nil"/>
              <w:bottom w:val="single" w:sz="8" w:space="0" w:color="auto"/>
              <w:right w:val="single" w:sz="4" w:space="0" w:color="auto"/>
            </w:tcBorders>
            <w:shd w:val="clear" w:color="000000" w:fill="BFBFBF"/>
            <w:noWrap/>
            <w:vAlign w:val="center"/>
            <w:hideMark/>
          </w:tcPr>
          <w:p w14:paraId="30F46F28"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901" w:type="dxa"/>
            <w:tcBorders>
              <w:top w:val="single" w:sz="4" w:space="0" w:color="auto"/>
              <w:left w:val="nil"/>
              <w:bottom w:val="single" w:sz="8" w:space="0" w:color="auto"/>
              <w:right w:val="single" w:sz="4" w:space="0" w:color="auto"/>
            </w:tcBorders>
            <w:shd w:val="clear" w:color="000000" w:fill="BFBFBF"/>
            <w:noWrap/>
            <w:vAlign w:val="center"/>
            <w:hideMark/>
          </w:tcPr>
          <w:p w14:paraId="2C590CF3"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1275" w:type="dxa"/>
            <w:tcBorders>
              <w:top w:val="nil"/>
              <w:left w:val="nil"/>
              <w:bottom w:val="single" w:sz="8" w:space="0" w:color="auto"/>
              <w:right w:val="single" w:sz="4" w:space="0" w:color="auto"/>
            </w:tcBorders>
            <w:shd w:val="clear" w:color="000000" w:fill="BFBFBF"/>
            <w:noWrap/>
            <w:vAlign w:val="center"/>
            <w:hideMark/>
          </w:tcPr>
          <w:p w14:paraId="6F52A1B0"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-14.720</w:t>
            </w:r>
          </w:p>
        </w:tc>
        <w:tc>
          <w:tcPr>
            <w:tcW w:w="883" w:type="dxa"/>
            <w:tcBorders>
              <w:top w:val="single" w:sz="4" w:space="0" w:color="auto"/>
              <w:left w:val="nil"/>
              <w:bottom w:val="single" w:sz="8" w:space="0" w:color="auto"/>
              <w:right w:val="single" w:sz="4" w:space="0" w:color="auto"/>
            </w:tcBorders>
            <w:shd w:val="clear" w:color="000000" w:fill="BFBFBF"/>
            <w:noWrap/>
            <w:vAlign w:val="center"/>
            <w:hideMark/>
          </w:tcPr>
          <w:p w14:paraId="5011CDDB"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-0.174</w:t>
            </w: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14:paraId="56131A35"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1.419</w:t>
            </w:r>
          </w:p>
        </w:tc>
        <w:tc>
          <w:tcPr>
            <w:tcW w:w="1025" w:type="dxa"/>
            <w:tcBorders>
              <w:top w:val="nil"/>
              <w:left w:val="nil"/>
              <w:bottom w:val="single" w:sz="8" w:space="0" w:color="auto"/>
              <w:right w:val="single" w:sz="8" w:space="0" w:color="auto"/>
            </w:tcBorders>
            <w:shd w:val="clear" w:color="000000" w:fill="BFBFBF"/>
            <w:noWrap/>
            <w:vAlign w:val="center"/>
            <w:hideMark/>
          </w:tcPr>
          <w:p w14:paraId="35E14051"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-13.475</w:t>
            </w:r>
          </w:p>
        </w:tc>
      </w:tr>
      <w:tr w:rsidR="0093099B" w14:paraId="29FB57BE" w14:textId="77777777" w:rsidTr="00AC33E0">
        <w:trPr>
          <w:trHeight w:val="300"/>
        </w:trPr>
        <w:tc>
          <w:tcPr>
            <w:tcW w:w="1951" w:type="dxa"/>
            <w:tcBorders>
              <w:top w:val="single" w:sz="4" w:space="0" w:color="auto"/>
              <w:left w:val="single" w:sz="8" w:space="0" w:color="auto"/>
              <w:bottom w:val="nil"/>
              <w:right w:val="single" w:sz="4" w:space="0" w:color="auto"/>
            </w:tcBorders>
            <w:shd w:val="clear" w:color="auto" w:fill="auto"/>
            <w:vAlign w:val="center"/>
            <w:hideMark/>
          </w:tcPr>
          <w:p w14:paraId="00840605" w14:textId="77777777" w:rsidR="00AC33E0" w:rsidRPr="00BA3F89" w:rsidRDefault="00AC33E0" w:rsidP="00AC33E0">
            <w:pPr>
              <w:autoSpaceDE/>
              <w:autoSpaceDN/>
              <w:adjustRightInd/>
              <w:spacing w:after="0"/>
              <w:jc w:val="left"/>
              <w:rPr>
                <w:rFonts w:eastAsia="Times New Roman" w:cs="Arial"/>
                <w:i/>
                <w:iCs/>
                <w:sz w:val="16"/>
                <w:szCs w:val="16"/>
                <w:lang w:eastAsia="en-GB"/>
              </w:rPr>
            </w:pPr>
            <w:r w:rsidRPr="00BA3F89">
              <w:rPr>
                <w:rFonts w:eastAsia="Times New Roman" w:cs="Arial"/>
                <w:i/>
                <w:iCs/>
                <w:sz w:val="16"/>
                <w:szCs w:val="16"/>
                <w:lang w:eastAsia="en-GB"/>
              </w:rPr>
              <w:t> </w:t>
            </w:r>
          </w:p>
        </w:tc>
        <w:tc>
          <w:tcPr>
            <w:tcW w:w="1284" w:type="dxa"/>
            <w:tcBorders>
              <w:top w:val="single" w:sz="4" w:space="0" w:color="auto"/>
              <w:left w:val="nil"/>
              <w:bottom w:val="nil"/>
              <w:right w:val="single" w:sz="4" w:space="0" w:color="auto"/>
            </w:tcBorders>
            <w:shd w:val="clear" w:color="auto" w:fill="auto"/>
            <w:noWrap/>
            <w:vAlign w:val="center"/>
            <w:hideMark/>
          </w:tcPr>
          <w:p w14:paraId="63E7A5C9"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 </w:t>
            </w:r>
          </w:p>
        </w:tc>
        <w:tc>
          <w:tcPr>
            <w:tcW w:w="1276" w:type="dxa"/>
            <w:tcBorders>
              <w:top w:val="single" w:sz="4" w:space="0" w:color="auto"/>
              <w:left w:val="nil"/>
              <w:bottom w:val="nil"/>
              <w:right w:val="single" w:sz="4" w:space="0" w:color="auto"/>
            </w:tcBorders>
            <w:shd w:val="clear" w:color="auto" w:fill="auto"/>
            <w:noWrap/>
            <w:vAlign w:val="center"/>
            <w:hideMark/>
          </w:tcPr>
          <w:p w14:paraId="48D00429"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 </w:t>
            </w:r>
          </w:p>
        </w:tc>
        <w:tc>
          <w:tcPr>
            <w:tcW w:w="1176" w:type="dxa"/>
            <w:tcBorders>
              <w:top w:val="single" w:sz="4" w:space="0" w:color="auto"/>
              <w:left w:val="nil"/>
              <w:bottom w:val="nil"/>
              <w:right w:val="single" w:sz="4" w:space="0" w:color="auto"/>
            </w:tcBorders>
            <w:shd w:val="clear" w:color="auto" w:fill="auto"/>
            <w:noWrap/>
            <w:vAlign w:val="center"/>
            <w:hideMark/>
          </w:tcPr>
          <w:p w14:paraId="6F3C6CA9"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 </w:t>
            </w:r>
          </w:p>
        </w:tc>
        <w:tc>
          <w:tcPr>
            <w:tcW w:w="901" w:type="dxa"/>
            <w:tcBorders>
              <w:top w:val="single" w:sz="4" w:space="0" w:color="auto"/>
              <w:left w:val="nil"/>
              <w:bottom w:val="nil"/>
              <w:right w:val="single" w:sz="4" w:space="0" w:color="auto"/>
            </w:tcBorders>
            <w:shd w:val="clear" w:color="auto" w:fill="auto"/>
            <w:noWrap/>
            <w:vAlign w:val="center"/>
            <w:hideMark/>
          </w:tcPr>
          <w:p w14:paraId="7C219271"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 </w:t>
            </w:r>
          </w:p>
        </w:tc>
        <w:tc>
          <w:tcPr>
            <w:tcW w:w="1275" w:type="dxa"/>
            <w:tcBorders>
              <w:top w:val="single" w:sz="4" w:space="0" w:color="auto"/>
              <w:left w:val="nil"/>
              <w:bottom w:val="nil"/>
              <w:right w:val="single" w:sz="4" w:space="0" w:color="auto"/>
            </w:tcBorders>
            <w:shd w:val="clear" w:color="auto" w:fill="auto"/>
            <w:noWrap/>
            <w:vAlign w:val="center"/>
            <w:hideMark/>
          </w:tcPr>
          <w:p w14:paraId="2EFBED6A" w14:textId="77777777" w:rsidR="00AC33E0" w:rsidRPr="00BA3F89" w:rsidRDefault="00AC33E0" w:rsidP="00AC33E0">
            <w:pPr>
              <w:autoSpaceDE/>
              <w:autoSpaceDN/>
              <w:adjustRightInd/>
              <w:spacing w:after="0"/>
              <w:jc w:val="center"/>
              <w:rPr>
                <w:rFonts w:eastAsia="Times New Roman" w:cs="Arial"/>
                <w:sz w:val="16"/>
                <w:szCs w:val="16"/>
                <w:lang w:eastAsia="en-GB"/>
              </w:rPr>
            </w:pPr>
            <w:r w:rsidRPr="00BA3F89">
              <w:rPr>
                <w:rFonts w:eastAsia="Times New Roman" w:cs="Arial"/>
                <w:sz w:val="16"/>
                <w:szCs w:val="16"/>
                <w:lang w:eastAsia="en-GB"/>
              </w:rPr>
              <w:t> </w:t>
            </w:r>
          </w:p>
        </w:tc>
        <w:tc>
          <w:tcPr>
            <w:tcW w:w="883" w:type="dxa"/>
            <w:tcBorders>
              <w:top w:val="single" w:sz="4" w:space="0" w:color="auto"/>
              <w:left w:val="nil"/>
              <w:bottom w:val="nil"/>
              <w:right w:val="single" w:sz="4" w:space="0" w:color="auto"/>
            </w:tcBorders>
            <w:shd w:val="clear" w:color="auto" w:fill="auto"/>
            <w:noWrap/>
            <w:vAlign w:val="center"/>
            <w:hideMark/>
          </w:tcPr>
          <w:p w14:paraId="11CFD8CC" w14:textId="77777777" w:rsidR="00AC33E0" w:rsidRPr="00BA3F89" w:rsidRDefault="00AC33E0" w:rsidP="00AC33E0">
            <w:pPr>
              <w:autoSpaceDE/>
              <w:autoSpaceDN/>
              <w:adjustRightInd/>
              <w:spacing w:after="0"/>
              <w:jc w:val="center"/>
              <w:rPr>
                <w:rFonts w:eastAsia="Times New Roman" w:cs="Arial"/>
                <w:i/>
                <w:iCs/>
                <w:sz w:val="16"/>
                <w:szCs w:val="16"/>
                <w:lang w:eastAsia="en-GB"/>
              </w:rPr>
            </w:pPr>
            <w:r w:rsidRPr="00BA3F89">
              <w:rPr>
                <w:rFonts w:eastAsia="Times New Roman" w:cs="Arial"/>
                <w:i/>
                <w:iCs/>
                <w:sz w:val="16"/>
                <w:szCs w:val="16"/>
                <w:lang w:eastAsia="en-GB"/>
              </w:rPr>
              <w:t> </w:t>
            </w:r>
          </w:p>
        </w:tc>
        <w:tc>
          <w:tcPr>
            <w:tcW w:w="1134" w:type="dxa"/>
            <w:tcBorders>
              <w:top w:val="single" w:sz="4" w:space="0" w:color="auto"/>
              <w:left w:val="nil"/>
              <w:bottom w:val="nil"/>
              <w:right w:val="single" w:sz="4" w:space="0" w:color="auto"/>
            </w:tcBorders>
            <w:shd w:val="clear" w:color="auto" w:fill="auto"/>
            <w:noWrap/>
            <w:vAlign w:val="center"/>
            <w:hideMark/>
          </w:tcPr>
          <w:p w14:paraId="6DBCC30D" w14:textId="77777777" w:rsidR="00AC33E0" w:rsidRPr="00BA3F89" w:rsidRDefault="00AC33E0" w:rsidP="00AC33E0">
            <w:pPr>
              <w:autoSpaceDE/>
              <w:autoSpaceDN/>
              <w:adjustRightInd/>
              <w:spacing w:after="0"/>
              <w:jc w:val="center"/>
              <w:rPr>
                <w:rFonts w:eastAsia="Times New Roman" w:cs="Arial"/>
                <w:i/>
                <w:iCs/>
                <w:sz w:val="16"/>
                <w:szCs w:val="16"/>
                <w:lang w:eastAsia="en-GB"/>
              </w:rPr>
            </w:pPr>
            <w:r w:rsidRPr="00BA3F89">
              <w:rPr>
                <w:rFonts w:eastAsia="Times New Roman" w:cs="Arial"/>
                <w:i/>
                <w:iCs/>
                <w:sz w:val="16"/>
                <w:szCs w:val="16"/>
                <w:lang w:eastAsia="en-GB"/>
              </w:rPr>
              <w:t> </w:t>
            </w:r>
          </w:p>
        </w:tc>
        <w:tc>
          <w:tcPr>
            <w:tcW w:w="1025" w:type="dxa"/>
            <w:tcBorders>
              <w:top w:val="nil"/>
              <w:left w:val="nil"/>
              <w:bottom w:val="nil"/>
              <w:right w:val="single" w:sz="8" w:space="0" w:color="auto"/>
            </w:tcBorders>
            <w:shd w:val="clear" w:color="auto" w:fill="auto"/>
            <w:noWrap/>
            <w:vAlign w:val="center"/>
            <w:hideMark/>
          </w:tcPr>
          <w:p w14:paraId="7D93CBB8" w14:textId="77777777" w:rsidR="00AC33E0" w:rsidRPr="00BA3F89" w:rsidRDefault="00AC33E0" w:rsidP="00AC33E0">
            <w:pPr>
              <w:autoSpaceDE/>
              <w:autoSpaceDN/>
              <w:adjustRightInd/>
              <w:spacing w:after="0"/>
              <w:jc w:val="center"/>
              <w:rPr>
                <w:rFonts w:eastAsia="Times New Roman" w:cs="Arial"/>
                <w:i/>
                <w:iCs/>
                <w:sz w:val="16"/>
                <w:szCs w:val="16"/>
                <w:lang w:eastAsia="en-GB"/>
              </w:rPr>
            </w:pPr>
            <w:r w:rsidRPr="00BA3F89">
              <w:rPr>
                <w:rFonts w:eastAsia="Times New Roman" w:cs="Arial"/>
                <w:i/>
                <w:iCs/>
                <w:sz w:val="16"/>
                <w:szCs w:val="16"/>
                <w:lang w:eastAsia="en-GB"/>
              </w:rPr>
              <w:t> </w:t>
            </w:r>
          </w:p>
        </w:tc>
      </w:tr>
      <w:tr w:rsidR="0093099B" w14:paraId="2419F898" w14:textId="77777777" w:rsidTr="00AC33E0">
        <w:trPr>
          <w:trHeight w:val="420"/>
        </w:trPr>
        <w:tc>
          <w:tcPr>
            <w:tcW w:w="195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A61DE47" w14:textId="77777777" w:rsidR="00AC33E0" w:rsidRPr="00BA3F89" w:rsidRDefault="00AC33E0" w:rsidP="00AC33E0">
            <w:pPr>
              <w:autoSpaceDE/>
              <w:autoSpaceDN/>
              <w:adjustRightInd/>
              <w:spacing w:after="0"/>
              <w:jc w:val="left"/>
              <w:rPr>
                <w:rFonts w:eastAsia="Times New Roman" w:cs="Arial"/>
                <w:b/>
                <w:bCs/>
                <w:sz w:val="16"/>
                <w:szCs w:val="16"/>
                <w:lang w:eastAsia="en-GB"/>
              </w:rPr>
            </w:pPr>
            <w:r w:rsidRPr="00BA3F89">
              <w:rPr>
                <w:rFonts w:eastAsia="Times New Roman" w:cs="Arial"/>
                <w:b/>
                <w:bCs/>
                <w:sz w:val="16"/>
                <w:szCs w:val="16"/>
                <w:lang w:eastAsia="en-GB"/>
              </w:rPr>
              <w:t>GRAND TOTAL</w:t>
            </w:r>
          </w:p>
        </w:tc>
        <w:tc>
          <w:tcPr>
            <w:tcW w:w="1284" w:type="dxa"/>
            <w:tcBorders>
              <w:top w:val="single" w:sz="8" w:space="0" w:color="auto"/>
              <w:left w:val="nil"/>
              <w:bottom w:val="single" w:sz="8" w:space="0" w:color="auto"/>
              <w:right w:val="single" w:sz="4" w:space="0" w:color="auto"/>
            </w:tcBorders>
            <w:shd w:val="clear" w:color="000000" w:fill="BFBFBF"/>
            <w:noWrap/>
            <w:vAlign w:val="center"/>
            <w:hideMark/>
          </w:tcPr>
          <w:p w14:paraId="079923DC"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-240.814</w:t>
            </w:r>
          </w:p>
        </w:tc>
        <w:tc>
          <w:tcPr>
            <w:tcW w:w="1276" w:type="dxa"/>
            <w:tcBorders>
              <w:top w:val="single" w:sz="8" w:space="0" w:color="auto"/>
              <w:left w:val="nil"/>
              <w:bottom w:val="single" w:sz="8" w:space="0" w:color="auto"/>
              <w:right w:val="single" w:sz="4" w:space="0" w:color="auto"/>
            </w:tcBorders>
            <w:shd w:val="clear" w:color="000000" w:fill="BFBFBF"/>
            <w:noWrap/>
            <w:vAlign w:val="center"/>
            <w:hideMark/>
          </w:tcPr>
          <w:p w14:paraId="19016F23"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32.381</w:t>
            </w:r>
          </w:p>
        </w:tc>
        <w:tc>
          <w:tcPr>
            <w:tcW w:w="1176" w:type="dxa"/>
            <w:tcBorders>
              <w:top w:val="single" w:sz="8" w:space="0" w:color="auto"/>
              <w:left w:val="nil"/>
              <w:bottom w:val="single" w:sz="8" w:space="0" w:color="auto"/>
              <w:right w:val="single" w:sz="4" w:space="0" w:color="auto"/>
            </w:tcBorders>
            <w:shd w:val="clear" w:color="000000" w:fill="BFBFBF"/>
            <w:noWrap/>
            <w:vAlign w:val="center"/>
            <w:hideMark/>
          </w:tcPr>
          <w:p w14:paraId="67115EBD"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901" w:type="dxa"/>
            <w:tcBorders>
              <w:top w:val="single" w:sz="8" w:space="0" w:color="auto"/>
              <w:left w:val="nil"/>
              <w:bottom w:val="single" w:sz="8" w:space="0" w:color="auto"/>
              <w:right w:val="single" w:sz="4" w:space="0" w:color="auto"/>
            </w:tcBorders>
            <w:shd w:val="clear" w:color="000000" w:fill="BFBFBF"/>
            <w:noWrap/>
            <w:vAlign w:val="center"/>
            <w:hideMark/>
          </w:tcPr>
          <w:p w14:paraId="206C6E60"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0.000</w:t>
            </w:r>
          </w:p>
        </w:tc>
        <w:tc>
          <w:tcPr>
            <w:tcW w:w="1275" w:type="dxa"/>
            <w:tcBorders>
              <w:top w:val="single" w:sz="8" w:space="0" w:color="auto"/>
              <w:left w:val="nil"/>
              <w:bottom w:val="single" w:sz="8" w:space="0" w:color="auto"/>
              <w:right w:val="single" w:sz="4" w:space="0" w:color="auto"/>
            </w:tcBorders>
            <w:shd w:val="clear" w:color="000000" w:fill="BFBFBF"/>
            <w:noWrap/>
            <w:vAlign w:val="center"/>
            <w:hideMark/>
          </w:tcPr>
          <w:p w14:paraId="7AD31A0F"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-208.433</w:t>
            </w:r>
          </w:p>
        </w:tc>
        <w:tc>
          <w:tcPr>
            <w:tcW w:w="883" w:type="dxa"/>
            <w:tcBorders>
              <w:top w:val="single" w:sz="8" w:space="0" w:color="auto"/>
              <w:left w:val="nil"/>
              <w:bottom w:val="single" w:sz="8" w:space="0" w:color="auto"/>
              <w:right w:val="single" w:sz="4" w:space="0" w:color="auto"/>
            </w:tcBorders>
            <w:shd w:val="clear" w:color="000000" w:fill="BFBFBF"/>
            <w:noWrap/>
            <w:vAlign w:val="center"/>
            <w:hideMark/>
          </w:tcPr>
          <w:p w14:paraId="0F9BB2B4"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8.239</w:t>
            </w:r>
          </w:p>
        </w:tc>
        <w:tc>
          <w:tcPr>
            <w:tcW w:w="1134" w:type="dxa"/>
            <w:tcBorders>
              <w:top w:val="single" w:sz="8" w:space="0" w:color="auto"/>
              <w:left w:val="nil"/>
              <w:bottom w:val="single" w:sz="8" w:space="0" w:color="auto"/>
              <w:right w:val="single" w:sz="4" w:space="0" w:color="auto"/>
            </w:tcBorders>
            <w:shd w:val="clear" w:color="000000" w:fill="BFBFBF"/>
            <w:noWrap/>
            <w:vAlign w:val="center"/>
            <w:hideMark/>
          </w:tcPr>
          <w:p w14:paraId="6323639A"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3.216</w:t>
            </w:r>
          </w:p>
        </w:tc>
        <w:tc>
          <w:tcPr>
            <w:tcW w:w="1025" w:type="dxa"/>
            <w:tcBorders>
              <w:top w:val="single" w:sz="8" w:space="0" w:color="auto"/>
              <w:left w:val="nil"/>
              <w:bottom w:val="single" w:sz="8" w:space="0" w:color="auto"/>
              <w:right w:val="single" w:sz="8" w:space="0" w:color="auto"/>
            </w:tcBorders>
            <w:shd w:val="clear" w:color="000000" w:fill="BFBFBF"/>
            <w:noWrap/>
            <w:vAlign w:val="center"/>
            <w:hideMark/>
          </w:tcPr>
          <w:p w14:paraId="5FB0FE55" w14:textId="77777777" w:rsidR="00AC33E0" w:rsidRPr="00BA3F89" w:rsidRDefault="00AC33E0" w:rsidP="00AC33E0">
            <w:pPr>
              <w:autoSpaceDE/>
              <w:autoSpaceDN/>
              <w:adjustRightInd/>
              <w:spacing w:after="0"/>
              <w:jc w:val="center"/>
              <w:rPr>
                <w:rFonts w:eastAsia="Times New Roman" w:cs="Arial"/>
                <w:b/>
                <w:bCs/>
                <w:sz w:val="16"/>
                <w:szCs w:val="16"/>
                <w:lang w:eastAsia="en-GB"/>
              </w:rPr>
            </w:pPr>
            <w:r w:rsidRPr="00BA3F89">
              <w:rPr>
                <w:rFonts w:eastAsia="Times New Roman" w:cs="Arial"/>
                <w:b/>
                <w:bCs/>
                <w:sz w:val="16"/>
                <w:szCs w:val="16"/>
                <w:lang w:eastAsia="en-GB"/>
              </w:rPr>
              <w:t>-196.978</w:t>
            </w:r>
          </w:p>
        </w:tc>
      </w:tr>
    </w:tbl>
    <w:p w14:paraId="1362A069" w14:textId="77777777" w:rsidR="00AC33E0" w:rsidRPr="008A534A" w:rsidRDefault="00AC33E0" w:rsidP="00AC33E0">
      <w:pPr>
        <w:tabs>
          <w:tab w:val="left" w:pos="567"/>
          <w:tab w:val="left" w:pos="1134"/>
        </w:tabs>
        <w:spacing w:after="0"/>
        <w:rPr>
          <w:rFonts w:cs="Arial"/>
          <w:b/>
          <w:i/>
          <w:highlight w:val="yellow"/>
          <w:u w:val="single"/>
        </w:rPr>
      </w:pPr>
    </w:p>
    <w:p w14:paraId="49B090AB" w14:textId="00771144" w:rsidR="00AC33E0" w:rsidRPr="00BA3F89" w:rsidRDefault="00AC33E0" w:rsidP="00AC33E0">
      <w:pPr>
        <w:spacing w:after="0"/>
        <w:ind w:right="-24"/>
        <w:rPr>
          <w:rFonts w:cs="Arial"/>
        </w:rPr>
      </w:pPr>
      <w:r w:rsidRPr="00BA3F89">
        <w:rPr>
          <w:rFonts w:cs="Arial"/>
        </w:rPr>
        <w:t>The county fund shown at the top of Table 7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w:t>
      </w:r>
      <w:r w:rsidR="00FF0CA9">
        <w:rPr>
          <w:rFonts w:cs="Arial"/>
        </w:rPr>
        <w:t xml:space="preserve">, equating to </w:t>
      </w:r>
      <w:r w:rsidR="005B099C">
        <w:rPr>
          <w:rFonts w:cs="Arial"/>
        </w:rPr>
        <w:t>c</w:t>
      </w:r>
      <w:r w:rsidR="00FF0CA9">
        <w:rPr>
          <w:rFonts w:cs="Arial"/>
        </w:rPr>
        <w:t>3% of net budget</w:t>
      </w:r>
      <w:r w:rsidRPr="00BA3F89">
        <w:rPr>
          <w:rFonts w:cs="Arial"/>
        </w:rPr>
        <w:t xml:space="preserve">. </w:t>
      </w:r>
    </w:p>
    <w:p w14:paraId="15AAD6A0" w14:textId="77777777" w:rsidR="00AC33E0" w:rsidRPr="008A534A" w:rsidRDefault="00AC33E0" w:rsidP="00AC33E0">
      <w:pPr>
        <w:tabs>
          <w:tab w:val="left" w:pos="567"/>
          <w:tab w:val="left" w:pos="1134"/>
        </w:tabs>
        <w:spacing w:after="0"/>
        <w:rPr>
          <w:rFonts w:cs="Arial"/>
          <w:highlight w:val="yellow"/>
        </w:rPr>
      </w:pPr>
    </w:p>
    <w:p w14:paraId="55F87E2F" w14:textId="77777777" w:rsidR="00AC33E0" w:rsidRPr="00BA3F89" w:rsidRDefault="00AC33E0" w:rsidP="00AC33E0">
      <w:pPr>
        <w:tabs>
          <w:tab w:val="left" w:pos="567"/>
          <w:tab w:val="left" w:pos="1134"/>
        </w:tabs>
        <w:spacing w:after="0"/>
        <w:rPr>
          <w:rFonts w:cs="Arial"/>
        </w:rPr>
      </w:pPr>
      <w:r w:rsidRPr="00BA3F89">
        <w:rPr>
          <w:rFonts w:cs="Arial"/>
        </w:rPr>
        <w:t>The value of the uncommitted transitional reserve is currently forecast to be £1</w:t>
      </w:r>
      <w:r>
        <w:rPr>
          <w:rFonts w:cs="Arial"/>
        </w:rPr>
        <w:t>50.25</w:t>
      </w:r>
      <w:r w:rsidRPr="00BA3F89">
        <w:rPr>
          <w:rFonts w:cs="Arial"/>
        </w:rPr>
        <w:t xml:space="preserve">0m by the end of March 2020. This represents an improved position from the £139.271m that was previously reported to full council in February; this is mainly due to the higher than forecast underspend position for 2018/19 and further additional </w:t>
      </w:r>
      <w:r w:rsidRPr="00BA3F89">
        <w:rPr>
          <w:rFonts w:cs="Arial"/>
        </w:rPr>
        <w:lastRenderedPageBreak/>
        <w:t xml:space="preserve">income and areas where drawdowns were not required that were included in detail within the outturn report presented to cabinet in June 2019. </w:t>
      </w:r>
    </w:p>
    <w:p w14:paraId="390DA48C" w14:textId="77777777" w:rsidR="00AC33E0" w:rsidRPr="009C69DC" w:rsidRDefault="00AC33E0" w:rsidP="00AC33E0">
      <w:pPr>
        <w:tabs>
          <w:tab w:val="left" w:pos="567"/>
          <w:tab w:val="left" w:pos="1134"/>
        </w:tabs>
        <w:spacing w:after="0"/>
        <w:rPr>
          <w:rFonts w:cs="Arial"/>
          <w:highlight w:val="yellow"/>
        </w:rPr>
      </w:pPr>
    </w:p>
    <w:p w14:paraId="5B6E4FAC" w14:textId="320D67AF" w:rsidR="00AC33E0" w:rsidRPr="00BA3F89" w:rsidRDefault="00AC33E0" w:rsidP="00AC33E0">
      <w:pPr>
        <w:spacing w:after="0"/>
        <w:rPr>
          <w:rFonts w:cs="Arial"/>
        </w:rPr>
      </w:pPr>
      <w:r w:rsidRPr="00BA3F89">
        <w:rPr>
          <w:rFonts w:cs="Arial"/>
        </w:rPr>
        <w:t xml:space="preserve">The transitional reserve is forecast to be sufficient to meet the identified funding gaps through to 2022/23 as set out in table 8 below. However, the intention </w:t>
      </w:r>
      <w:r w:rsidR="00FF0CA9">
        <w:rPr>
          <w:rFonts w:cs="Arial"/>
        </w:rPr>
        <w:t>remains</w:t>
      </w:r>
      <w:r w:rsidR="00FF0CA9" w:rsidRPr="00BA3F89">
        <w:rPr>
          <w:rFonts w:cs="Arial"/>
        </w:rPr>
        <w:t xml:space="preserve"> </w:t>
      </w:r>
      <w:r w:rsidRPr="00BA3F89">
        <w:rPr>
          <w:rFonts w:cs="Arial"/>
        </w:rPr>
        <w:t xml:space="preserve">to identify further savings to reduce the gap, and hence the call on reserves, for 2020/21 and beyond.  </w:t>
      </w:r>
    </w:p>
    <w:p w14:paraId="31F357E5" w14:textId="77777777" w:rsidR="00AC33E0" w:rsidRPr="009C69DC" w:rsidRDefault="00AC33E0" w:rsidP="00AC33E0">
      <w:pPr>
        <w:tabs>
          <w:tab w:val="left" w:pos="567"/>
          <w:tab w:val="left" w:pos="1134"/>
        </w:tabs>
        <w:spacing w:after="0"/>
        <w:rPr>
          <w:rFonts w:cs="Arial"/>
          <w:highlight w:val="yellow"/>
        </w:rPr>
      </w:pPr>
    </w:p>
    <w:p w14:paraId="5F7FC0EF" w14:textId="77777777" w:rsidR="00AC33E0" w:rsidRPr="00416569" w:rsidRDefault="00AC33E0" w:rsidP="00AC33E0">
      <w:pPr>
        <w:tabs>
          <w:tab w:val="left" w:pos="567"/>
          <w:tab w:val="left" w:pos="1134"/>
        </w:tabs>
        <w:spacing w:after="0"/>
        <w:rPr>
          <w:rFonts w:cs="Arial"/>
          <w:b/>
          <w:i/>
          <w:u w:val="single"/>
        </w:rPr>
      </w:pPr>
      <w:r w:rsidRPr="00416569">
        <w:rPr>
          <w:rFonts w:cs="Arial"/>
          <w:b/>
          <w:i/>
          <w:u w:val="single"/>
        </w:rPr>
        <w:t>Table 8</w:t>
      </w:r>
    </w:p>
    <w:p w14:paraId="43197B5F" w14:textId="77777777" w:rsidR="00AC33E0" w:rsidRDefault="00AC33E0" w:rsidP="00AC33E0">
      <w:pPr>
        <w:tabs>
          <w:tab w:val="left" w:pos="567"/>
          <w:tab w:val="left" w:pos="1134"/>
        </w:tabs>
        <w:spacing w:after="0"/>
        <w:rPr>
          <w:rFonts w:cs="Arial"/>
          <w:b/>
          <w:i/>
          <w:highlight w:val="yellow"/>
          <w:u w:val="single"/>
        </w:rPr>
      </w:pPr>
    </w:p>
    <w:tbl>
      <w:tblPr>
        <w:tblW w:w="9062" w:type="dxa"/>
        <w:tblLook w:val="04A0" w:firstRow="1" w:lastRow="0" w:firstColumn="1" w:lastColumn="0" w:noHBand="0" w:noVBand="1"/>
      </w:tblPr>
      <w:tblGrid>
        <w:gridCol w:w="4385"/>
        <w:gridCol w:w="1559"/>
        <w:gridCol w:w="1559"/>
        <w:gridCol w:w="1559"/>
      </w:tblGrid>
      <w:tr w:rsidR="0093099B" w14:paraId="60D8D486" w14:textId="77777777" w:rsidTr="00AC33E0">
        <w:trPr>
          <w:trHeight w:val="330"/>
        </w:trPr>
        <w:tc>
          <w:tcPr>
            <w:tcW w:w="43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39ED097" w14:textId="77777777" w:rsidR="00AC33E0" w:rsidRPr="00D67A8F" w:rsidRDefault="00AC33E0" w:rsidP="00AC33E0">
            <w:pPr>
              <w:autoSpaceDE/>
              <w:autoSpaceDN/>
              <w:adjustRightInd/>
              <w:spacing w:after="0"/>
              <w:jc w:val="left"/>
              <w:rPr>
                <w:rFonts w:eastAsia="Times New Roman" w:cs="Arial"/>
                <w:b/>
                <w:bCs/>
                <w:lang w:eastAsia="en-GB"/>
              </w:rPr>
            </w:pPr>
            <w:r w:rsidRPr="00D67A8F">
              <w:rPr>
                <w:rFonts w:eastAsia="Times New Roman" w:cs="Arial"/>
                <w:b/>
                <w:bCs/>
                <w:lang w:eastAsia="en-GB"/>
              </w:rPr>
              <w:t> </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3EB50BF8" w14:textId="77777777" w:rsidR="00AC33E0" w:rsidRPr="00D67A8F" w:rsidRDefault="00AC33E0" w:rsidP="00AC33E0">
            <w:pPr>
              <w:autoSpaceDE/>
              <w:autoSpaceDN/>
              <w:adjustRightInd/>
              <w:spacing w:after="0"/>
              <w:jc w:val="right"/>
              <w:rPr>
                <w:rFonts w:eastAsia="Times New Roman" w:cs="Arial"/>
                <w:b/>
                <w:bCs/>
                <w:lang w:eastAsia="en-GB"/>
              </w:rPr>
            </w:pPr>
            <w:r w:rsidRPr="00D67A8F">
              <w:rPr>
                <w:rFonts w:eastAsia="Times New Roman" w:cs="Arial"/>
                <w:b/>
                <w:bCs/>
                <w:lang w:eastAsia="en-GB"/>
              </w:rPr>
              <w:t>2020/21</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4298FE23" w14:textId="77777777" w:rsidR="00AC33E0" w:rsidRPr="00D67A8F" w:rsidRDefault="00AC33E0" w:rsidP="00AC33E0">
            <w:pPr>
              <w:autoSpaceDE/>
              <w:autoSpaceDN/>
              <w:adjustRightInd/>
              <w:spacing w:after="0"/>
              <w:jc w:val="right"/>
              <w:rPr>
                <w:rFonts w:eastAsia="Times New Roman" w:cs="Arial"/>
                <w:b/>
                <w:bCs/>
                <w:lang w:eastAsia="en-GB"/>
              </w:rPr>
            </w:pPr>
            <w:r w:rsidRPr="00D67A8F">
              <w:rPr>
                <w:rFonts w:eastAsia="Times New Roman" w:cs="Arial"/>
                <w:b/>
                <w:bCs/>
                <w:lang w:eastAsia="en-GB"/>
              </w:rPr>
              <w:t>2021/22</w:t>
            </w:r>
          </w:p>
        </w:tc>
        <w:tc>
          <w:tcPr>
            <w:tcW w:w="1559" w:type="dxa"/>
            <w:tcBorders>
              <w:top w:val="single" w:sz="8" w:space="0" w:color="auto"/>
              <w:left w:val="nil"/>
              <w:bottom w:val="single" w:sz="8" w:space="0" w:color="auto"/>
              <w:right w:val="single" w:sz="8" w:space="0" w:color="auto"/>
            </w:tcBorders>
            <w:shd w:val="clear" w:color="000000" w:fill="BFBFBF"/>
            <w:vAlign w:val="center"/>
            <w:hideMark/>
          </w:tcPr>
          <w:p w14:paraId="025A64C7" w14:textId="77777777" w:rsidR="00AC33E0" w:rsidRPr="00D67A8F" w:rsidRDefault="00AC33E0" w:rsidP="00AC33E0">
            <w:pPr>
              <w:autoSpaceDE/>
              <w:autoSpaceDN/>
              <w:adjustRightInd/>
              <w:spacing w:after="0"/>
              <w:jc w:val="right"/>
              <w:rPr>
                <w:rFonts w:eastAsia="Times New Roman" w:cs="Arial"/>
                <w:b/>
                <w:bCs/>
                <w:lang w:eastAsia="en-GB"/>
              </w:rPr>
            </w:pPr>
            <w:r w:rsidRPr="00D67A8F">
              <w:rPr>
                <w:rFonts w:eastAsia="Times New Roman" w:cs="Arial"/>
                <w:b/>
                <w:bCs/>
                <w:lang w:eastAsia="en-GB"/>
              </w:rPr>
              <w:t>2022/23</w:t>
            </w:r>
          </w:p>
        </w:tc>
      </w:tr>
      <w:tr w:rsidR="0093099B" w14:paraId="540AF31D" w14:textId="77777777" w:rsidTr="00AC33E0">
        <w:trPr>
          <w:trHeight w:val="61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95DF54A" w14:textId="77777777" w:rsidR="00AC33E0" w:rsidRPr="00D67A8F" w:rsidRDefault="00AC33E0" w:rsidP="00AC33E0">
            <w:pPr>
              <w:autoSpaceDE/>
              <w:autoSpaceDN/>
              <w:adjustRightInd/>
              <w:spacing w:after="0"/>
              <w:jc w:val="left"/>
              <w:rPr>
                <w:rFonts w:eastAsia="Times New Roman" w:cs="Arial"/>
                <w:b/>
                <w:bCs/>
                <w:lang w:eastAsia="en-GB"/>
              </w:rPr>
            </w:pPr>
            <w:r w:rsidRPr="00D67A8F">
              <w:rPr>
                <w:rFonts w:eastAsia="Times New Roman" w:cs="Arial"/>
                <w:b/>
                <w:bCs/>
                <w:lang w:eastAsia="en-GB"/>
              </w:rPr>
              <w:t>Opening Balance</w:t>
            </w:r>
          </w:p>
        </w:tc>
        <w:tc>
          <w:tcPr>
            <w:tcW w:w="1559" w:type="dxa"/>
            <w:tcBorders>
              <w:top w:val="nil"/>
              <w:left w:val="nil"/>
              <w:bottom w:val="single" w:sz="8" w:space="0" w:color="auto"/>
              <w:right w:val="single" w:sz="8" w:space="0" w:color="auto"/>
            </w:tcBorders>
            <w:shd w:val="clear" w:color="auto" w:fill="auto"/>
            <w:vAlign w:val="center"/>
            <w:hideMark/>
          </w:tcPr>
          <w:p w14:paraId="24981C35"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150.250</w:t>
            </w:r>
          </w:p>
        </w:tc>
        <w:tc>
          <w:tcPr>
            <w:tcW w:w="1559" w:type="dxa"/>
            <w:tcBorders>
              <w:top w:val="nil"/>
              <w:left w:val="nil"/>
              <w:bottom w:val="single" w:sz="8" w:space="0" w:color="auto"/>
              <w:right w:val="single" w:sz="8" w:space="0" w:color="auto"/>
            </w:tcBorders>
            <w:shd w:val="clear" w:color="auto" w:fill="auto"/>
            <w:vAlign w:val="center"/>
            <w:hideMark/>
          </w:tcPr>
          <w:p w14:paraId="7A7EEEB3"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141.904</w:t>
            </w:r>
          </w:p>
        </w:tc>
        <w:tc>
          <w:tcPr>
            <w:tcW w:w="1559" w:type="dxa"/>
            <w:tcBorders>
              <w:top w:val="nil"/>
              <w:left w:val="nil"/>
              <w:bottom w:val="single" w:sz="8" w:space="0" w:color="auto"/>
              <w:right w:val="single" w:sz="8" w:space="0" w:color="auto"/>
            </w:tcBorders>
            <w:shd w:val="clear" w:color="auto" w:fill="auto"/>
            <w:vAlign w:val="center"/>
            <w:hideMark/>
          </w:tcPr>
          <w:p w14:paraId="729833DF"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96.672</w:t>
            </w:r>
          </w:p>
        </w:tc>
      </w:tr>
      <w:tr w:rsidR="0093099B" w14:paraId="392C902B" w14:textId="77777777" w:rsidTr="00AC33E0">
        <w:trPr>
          <w:trHeight w:val="330"/>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31D782D" w14:textId="77777777" w:rsidR="00AC33E0" w:rsidRPr="00D67A8F" w:rsidRDefault="00AC33E0" w:rsidP="00AC33E0">
            <w:pPr>
              <w:autoSpaceDE/>
              <w:autoSpaceDN/>
              <w:adjustRightInd/>
              <w:spacing w:after="0"/>
              <w:jc w:val="left"/>
              <w:rPr>
                <w:rFonts w:eastAsia="Times New Roman" w:cs="Arial"/>
                <w:b/>
                <w:bCs/>
                <w:lang w:eastAsia="en-GB"/>
              </w:rPr>
            </w:pPr>
            <w:r w:rsidRPr="00D67A8F">
              <w:rPr>
                <w:rFonts w:eastAsia="Times New Roman" w:cs="Arial"/>
                <w:b/>
                <w:bCs/>
                <w:lang w:eastAsia="en-GB"/>
              </w:rPr>
              <w:t>Gap funding</w:t>
            </w:r>
          </w:p>
        </w:tc>
        <w:tc>
          <w:tcPr>
            <w:tcW w:w="1559" w:type="dxa"/>
            <w:tcBorders>
              <w:top w:val="nil"/>
              <w:left w:val="nil"/>
              <w:bottom w:val="single" w:sz="8" w:space="0" w:color="auto"/>
              <w:right w:val="single" w:sz="8" w:space="0" w:color="auto"/>
            </w:tcBorders>
            <w:shd w:val="clear" w:color="auto" w:fill="auto"/>
            <w:vAlign w:val="center"/>
            <w:hideMark/>
          </w:tcPr>
          <w:p w14:paraId="5C982B9D"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5.895</w:t>
            </w:r>
          </w:p>
        </w:tc>
        <w:tc>
          <w:tcPr>
            <w:tcW w:w="1559" w:type="dxa"/>
            <w:tcBorders>
              <w:top w:val="nil"/>
              <w:left w:val="nil"/>
              <w:bottom w:val="single" w:sz="8" w:space="0" w:color="auto"/>
              <w:right w:val="single" w:sz="8" w:space="0" w:color="auto"/>
            </w:tcBorders>
            <w:shd w:val="clear" w:color="auto" w:fill="auto"/>
            <w:vAlign w:val="center"/>
            <w:hideMark/>
          </w:tcPr>
          <w:p w14:paraId="54CE1AFF"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44.928</w:t>
            </w:r>
          </w:p>
        </w:tc>
        <w:tc>
          <w:tcPr>
            <w:tcW w:w="1559" w:type="dxa"/>
            <w:tcBorders>
              <w:top w:val="nil"/>
              <w:left w:val="nil"/>
              <w:bottom w:val="single" w:sz="8" w:space="0" w:color="auto"/>
              <w:right w:val="single" w:sz="8" w:space="0" w:color="auto"/>
            </w:tcBorders>
            <w:shd w:val="clear" w:color="auto" w:fill="auto"/>
            <w:vAlign w:val="center"/>
            <w:hideMark/>
          </w:tcPr>
          <w:p w14:paraId="01EE973C"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64.755</w:t>
            </w:r>
          </w:p>
        </w:tc>
      </w:tr>
      <w:tr w:rsidR="0093099B" w14:paraId="497AFF31" w14:textId="77777777" w:rsidTr="00AC33E0">
        <w:trPr>
          <w:trHeight w:val="330"/>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DA3A460" w14:textId="77777777" w:rsidR="00AC33E0" w:rsidRPr="00D67A8F" w:rsidRDefault="00AC33E0" w:rsidP="00AC33E0">
            <w:pPr>
              <w:autoSpaceDE/>
              <w:autoSpaceDN/>
              <w:adjustRightInd/>
              <w:spacing w:after="0"/>
              <w:jc w:val="left"/>
              <w:rPr>
                <w:rFonts w:eastAsia="Times New Roman" w:cs="Arial"/>
                <w:b/>
                <w:bCs/>
                <w:lang w:eastAsia="en-GB"/>
              </w:rPr>
            </w:pPr>
            <w:r w:rsidRPr="00D67A8F">
              <w:rPr>
                <w:rFonts w:eastAsia="Times New Roman" w:cs="Arial"/>
                <w:b/>
                <w:bCs/>
                <w:lang w:eastAsia="en-GB"/>
              </w:rPr>
              <w:t>Commitments</w:t>
            </w:r>
          </w:p>
        </w:tc>
        <w:tc>
          <w:tcPr>
            <w:tcW w:w="1559" w:type="dxa"/>
            <w:tcBorders>
              <w:top w:val="nil"/>
              <w:left w:val="nil"/>
              <w:bottom w:val="single" w:sz="8" w:space="0" w:color="auto"/>
              <w:right w:val="single" w:sz="8" w:space="0" w:color="auto"/>
            </w:tcBorders>
            <w:shd w:val="clear" w:color="auto" w:fill="auto"/>
            <w:vAlign w:val="center"/>
            <w:hideMark/>
          </w:tcPr>
          <w:p w14:paraId="09E5F728"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2.452</w:t>
            </w:r>
          </w:p>
        </w:tc>
        <w:tc>
          <w:tcPr>
            <w:tcW w:w="1559" w:type="dxa"/>
            <w:tcBorders>
              <w:top w:val="nil"/>
              <w:left w:val="nil"/>
              <w:bottom w:val="single" w:sz="8" w:space="0" w:color="auto"/>
              <w:right w:val="single" w:sz="8" w:space="0" w:color="auto"/>
            </w:tcBorders>
            <w:shd w:val="clear" w:color="auto" w:fill="auto"/>
            <w:vAlign w:val="center"/>
            <w:hideMark/>
          </w:tcPr>
          <w:p w14:paraId="56476BCF"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0.304</w:t>
            </w:r>
          </w:p>
        </w:tc>
        <w:tc>
          <w:tcPr>
            <w:tcW w:w="1559" w:type="dxa"/>
            <w:tcBorders>
              <w:top w:val="nil"/>
              <w:left w:val="nil"/>
              <w:bottom w:val="single" w:sz="8" w:space="0" w:color="auto"/>
              <w:right w:val="single" w:sz="8" w:space="0" w:color="auto"/>
            </w:tcBorders>
            <w:shd w:val="clear" w:color="auto" w:fill="auto"/>
            <w:vAlign w:val="center"/>
            <w:hideMark/>
          </w:tcPr>
          <w:p w14:paraId="0CFFB979" w14:textId="77777777" w:rsidR="00AC33E0" w:rsidRPr="00D67A8F" w:rsidRDefault="00AC33E0" w:rsidP="00AC33E0">
            <w:pPr>
              <w:autoSpaceDE/>
              <w:autoSpaceDN/>
              <w:adjustRightInd/>
              <w:spacing w:after="0"/>
              <w:jc w:val="right"/>
              <w:rPr>
                <w:rFonts w:eastAsia="Times New Roman" w:cs="Arial"/>
                <w:lang w:eastAsia="en-GB"/>
              </w:rPr>
            </w:pPr>
            <w:r w:rsidRPr="00D67A8F">
              <w:rPr>
                <w:rFonts w:eastAsia="Times New Roman" w:cs="Arial"/>
                <w:lang w:eastAsia="en-GB"/>
              </w:rPr>
              <w:t>0.000</w:t>
            </w:r>
          </w:p>
        </w:tc>
      </w:tr>
      <w:tr w:rsidR="0093099B" w14:paraId="1A74EDCE" w14:textId="77777777" w:rsidTr="00AC33E0">
        <w:trPr>
          <w:trHeight w:val="330"/>
        </w:trPr>
        <w:tc>
          <w:tcPr>
            <w:tcW w:w="4385" w:type="dxa"/>
            <w:tcBorders>
              <w:top w:val="nil"/>
              <w:left w:val="single" w:sz="8" w:space="0" w:color="auto"/>
              <w:bottom w:val="single" w:sz="8" w:space="0" w:color="auto"/>
              <w:right w:val="single" w:sz="8" w:space="0" w:color="auto"/>
            </w:tcBorders>
            <w:shd w:val="clear" w:color="000000" w:fill="BFBFBF"/>
            <w:vAlign w:val="center"/>
            <w:hideMark/>
          </w:tcPr>
          <w:p w14:paraId="0E9CE966" w14:textId="77777777" w:rsidR="00AC33E0" w:rsidRPr="00D67A8F" w:rsidRDefault="00AC33E0" w:rsidP="00AC33E0">
            <w:pPr>
              <w:autoSpaceDE/>
              <w:autoSpaceDN/>
              <w:adjustRightInd/>
              <w:spacing w:after="0"/>
              <w:jc w:val="left"/>
              <w:rPr>
                <w:rFonts w:eastAsia="Times New Roman" w:cs="Arial"/>
                <w:b/>
                <w:bCs/>
                <w:lang w:eastAsia="en-GB"/>
              </w:rPr>
            </w:pPr>
            <w:r w:rsidRPr="00D67A8F">
              <w:rPr>
                <w:rFonts w:eastAsia="Times New Roman" w:cs="Arial"/>
                <w:b/>
                <w:bCs/>
                <w:lang w:eastAsia="en-GB"/>
              </w:rPr>
              <w:t>Closing balance</w:t>
            </w:r>
          </w:p>
        </w:tc>
        <w:tc>
          <w:tcPr>
            <w:tcW w:w="1559" w:type="dxa"/>
            <w:tcBorders>
              <w:top w:val="nil"/>
              <w:left w:val="nil"/>
              <w:bottom w:val="single" w:sz="8" w:space="0" w:color="auto"/>
              <w:right w:val="single" w:sz="8" w:space="0" w:color="auto"/>
            </w:tcBorders>
            <w:shd w:val="clear" w:color="000000" w:fill="BFBFBF"/>
            <w:vAlign w:val="center"/>
            <w:hideMark/>
          </w:tcPr>
          <w:p w14:paraId="34B2A56D" w14:textId="77777777" w:rsidR="00AC33E0" w:rsidRPr="00D67A8F" w:rsidRDefault="00AC33E0" w:rsidP="00AC33E0">
            <w:pPr>
              <w:autoSpaceDE/>
              <w:autoSpaceDN/>
              <w:adjustRightInd/>
              <w:spacing w:after="0"/>
              <w:jc w:val="right"/>
              <w:rPr>
                <w:rFonts w:eastAsia="Times New Roman" w:cs="Arial"/>
                <w:b/>
                <w:bCs/>
                <w:lang w:eastAsia="en-GB"/>
              </w:rPr>
            </w:pPr>
            <w:r w:rsidRPr="00D67A8F">
              <w:rPr>
                <w:rFonts w:eastAsia="Times New Roman" w:cs="Arial"/>
                <w:b/>
                <w:bCs/>
                <w:lang w:eastAsia="en-GB"/>
              </w:rPr>
              <w:t>141.904</w:t>
            </w:r>
          </w:p>
        </w:tc>
        <w:tc>
          <w:tcPr>
            <w:tcW w:w="1559" w:type="dxa"/>
            <w:tcBorders>
              <w:top w:val="nil"/>
              <w:left w:val="nil"/>
              <w:bottom w:val="single" w:sz="8" w:space="0" w:color="auto"/>
              <w:right w:val="single" w:sz="8" w:space="0" w:color="auto"/>
            </w:tcBorders>
            <w:shd w:val="clear" w:color="000000" w:fill="BFBFBF"/>
            <w:vAlign w:val="center"/>
            <w:hideMark/>
          </w:tcPr>
          <w:p w14:paraId="4481295A" w14:textId="77777777" w:rsidR="00AC33E0" w:rsidRPr="00D67A8F" w:rsidRDefault="00AC33E0" w:rsidP="00AC33E0">
            <w:pPr>
              <w:autoSpaceDE/>
              <w:autoSpaceDN/>
              <w:adjustRightInd/>
              <w:spacing w:after="0"/>
              <w:jc w:val="right"/>
              <w:rPr>
                <w:rFonts w:eastAsia="Times New Roman" w:cs="Arial"/>
                <w:b/>
                <w:bCs/>
                <w:lang w:eastAsia="en-GB"/>
              </w:rPr>
            </w:pPr>
            <w:r w:rsidRPr="00D67A8F">
              <w:rPr>
                <w:rFonts w:eastAsia="Times New Roman" w:cs="Arial"/>
                <w:b/>
                <w:bCs/>
                <w:lang w:eastAsia="en-GB"/>
              </w:rPr>
              <w:t>96.672</w:t>
            </w:r>
          </w:p>
        </w:tc>
        <w:tc>
          <w:tcPr>
            <w:tcW w:w="1559" w:type="dxa"/>
            <w:tcBorders>
              <w:top w:val="nil"/>
              <w:left w:val="nil"/>
              <w:bottom w:val="single" w:sz="8" w:space="0" w:color="auto"/>
              <w:right w:val="single" w:sz="8" w:space="0" w:color="auto"/>
            </w:tcBorders>
            <w:shd w:val="clear" w:color="000000" w:fill="BFBFBF"/>
            <w:vAlign w:val="center"/>
            <w:hideMark/>
          </w:tcPr>
          <w:p w14:paraId="2A1C4AF9" w14:textId="77777777" w:rsidR="00AC33E0" w:rsidRPr="00D67A8F" w:rsidRDefault="00AC33E0" w:rsidP="00AC33E0">
            <w:pPr>
              <w:autoSpaceDE/>
              <w:autoSpaceDN/>
              <w:adjustRightInd/>
              <w:spacing w:after="0"/>
              <w:jc w:val="right"/>
              <w:rPr>
                <w:rFonts w:eastAsia="Times New Roman" w:cs="Arial"/>
                <w:b/>
                <w:bCs/>
                <w:lang w:eastAsia="en-GB"/>
              </w:rPr>
            </w:pPr>
            <w:r w:rsidRPr="00D67A8F">
              <w:rPr>
                <w:rFonts w:eastAsia="Times New Roman" w:cs="Arial"/>
                <w:b/>
                <w:bCs/>
                <w:lang w:eastAsia="en-GB"/>
              </w:rPr>
              <w:t>31.917</w:t>
            </w:r>
          </w:p>
        </w:tc>
      </w:tr>
    </w:tbl>
    <w:p w14:paraId="12D3A5EC" w14:textId="77777777" w:rsidR="00AC33E0" w:rsidRPr="009C69DC" w:rsidRDefault="00AC33E0" w:rsidP="00AC33E0">
      <w:pPr>
        <w:tabs>
          <w:tab w:val="left" w:pos="567"/>
          <w:tab w:val="left" w:pos="1134"/>
        </w:tabs>
        <w:spacing w:after="0"/>
        <w:rPr>
          <w:rFonts w:cs="Arial"/>
          <w:b/>
          <w:i/>
          <w:highlight w:val="yellow"/>
          <w:u w:val="single"/>
        </w:rPr>
      </w:pPr>
    </w:p>
    <w:p w14:paraId="5C90F70B" w14:textId="77777777" w:rsidR="00AC33E0" w:rsidRPr="009C69DC" w:rsidRDefault="00AC33E0" w:rsidP="00AC33E0">
      <w:pPr>
        <w:tabs>
          <w:tab w:val="left" w:pos="567"/>
          <w:tab w:val="left" w:pos="1134"/>
        </w:tabs>
        <w:spacing w:after="0"/>
        <w:rPr>
          <w:rFonts w:cs="Arial"/>
          <w:b/>
          <w:i/>
          <w:highlight w:val="yellow"/>
          <w:u w:val="single"/>
        </w:rPr>
      </w:pPr>
    </w:p>
    <w:p w14:paraId="4062568F" w14:textId="77777777" w:rsidR="00AC33E0" w:rsidRPr="009C69DC" w:rsidRDefault="00AC33E0" w:rsidP="00AC33E0">
      <w:pPr>
        <w:tabs>
          <w:tab w:val="left" w:pos="567"/>
          <w:tab w:val="left" w:pos="1134"/>
        </w:tabs>
        <w:spacing w:after="0"/>
        <w:rPr>
          <w:rFonts w:cs="Arial"/>
          <w:b/>
          <w:i/>
          <w:highlight w:val="yellow"/>
          <w:u w:val="single"/>
        </w:rPr>
      </w:pPr>
    </w:p>
    <w:p w14:paraId="179F8591" w14:textId="77777777" w:rsidR="00AC33E0" w:rsidRPr="009C69DC" w:rsidRDefault="00AC33E0" w:rsidP="00AC33E0">
      <w:pPr>
        <w:tabs>
          <w:tab w:val="left" w:pos="567"/>
          <w:tab w:val="left" w:pos="1134"/>
        </w:tabs>
        <w:spacing w:after="0"/>
        <w:rPr>
          <w:rFonts w:cs="Arial"/>
          <w:b/>
          <w:i/>
          <w:highlight w:val="yellow"/>
          <w:u w:val="single"/>
        </w:rPr>
      </w:pPr>
    </w:p>
    <w:p w14:paraId="5DD3C871" w14:textId="77777777" w:rsidR="00AC33E0" w:rsidRPr="009C69DC" w:rsidRDefault="00AC33E0" w:rsidP="00AC33E0">
      <w:pPr>
        <w:tabs>
          <w:tab w:val="left" w:pos="567"/>
          <w:tab w:val="left" w:pos="1134"/>
        </w:tabs>
        <w:spacing w:after="0"/>
        <w:rPr>
          <w:rFonts w:cs="Arial"/>
          <w:b/>
          <w:i/>
          <w:highlight w:val="yellow"/>
          <w:u w:val="single"/>
        </w:rPr>
      </w:pPr>
    </w:p>
    <w:p w14:paraId="20BD7CCE" w14:textId="77777777" w:rsidR="00AC33E0" w:rsidRPr="009C69DC" w:rsidRDefault="00AC33E0" w:rsidP="00AC33E0">
      <w:pPr>
        <w:tabs>
          <w:tab w:val="left" w:pos="567"/>
          <w:tab w:val="left" w:pos="1134"/>
        </w:tabs>
        <w:spacing w:after="0"/>
        <w:rPr>
          <w:rFonts w:cs="Arial"/>
          <w:b/>
          <w:i/>
          <w:highlight w:val="yellow"/>
          <w:u w:val="single"/>
        </w:rPr>
      </w:pPr>
    </w:p>
    <w:p w14:paraId="2069B7F0" w14:textId="77777777" w:rsidR="00AC33E0" w:rsidRPr="009C69DC" w:rsidRDefault="00AC33E0" w:rsidP="00AC33E0">
      <w:pPr>
        <w:tabs>
          <w:tab w:val="left" w:pos="567"/>
          <w:tab w:val="left" w:pos="1134"/>
        </w:tabs>
        <w:spacing w:after="0"/>
        <w:rPr>
          <w:rFonts w:cs="Arial"/>
          <w:b/>
          <w:i/>
          <w:highlight w:val="yellow"/>
          <w:u w:val="single"/>
        </w:rPr>
      </w:pPr>
    </w:p>
    <w:p w14:paraId="12C24882" w14:textId="77777777" w:rsidR="00AC33E0" w:rsidRPr="009C69DC" w:rsidRDefault="00AC33E0" w:rsidP="00AC33E0">
      <w:pPr>
        <w:tabs>
          <w:tab w:val="left" w:pos="567"/>
          <w:tab w:val="left" w:pos="1134"/>
        </w:tabs>
        <w:spacing w:after="0"/>
        <w:rPr>
          <w:rFonts w:cs="Arial"/>
          <w:b/>
          <w:i/>
          <w:highlight w:val="yellow"/>
          <w:u w:val="single"/>
        </w:rPr>
      </w:pPr>
    </w:p>
    <w:p w14:paraId="4264604B" w14:textId="77777777" w:rsidR="00AC33E0" w:rsidRPr="009C69DC" w:rsidRDefault="00AC33E0" w:rsidP="00AC33E0">
      <w:pPr>
        <w:tabs>
          <w:tab w:val="left" w:pos="567"/>
          <w:tab w:val="left" w:pos="1134"/>
        </w:tabs>
        <w:spacing w:after="0"/>
        <w:rPr>
          <w:rFonts w:cs="Arial"/>
          <w:b/>
          <w:i/>
          <w:highlight w:val="yellow"/>
          <w:u w:val="single"/>
        </w:rPr>
      </w:pPr>
    </w:p>
    <w:p w14:paraId="1FCEF883" w14:textId="77777777" w:rsidR="00AC33E0" w:rsidRPr="009C69DC" w:rsidRDefault="00AC33E0" w:rsidP="00AC33E0">
      <w:pPr>
        <w:spacing w:after="0"/>
        <w:ind w:right="-24"/>
        <w:rPr>
          <w:rFonts w:cs="Arial"/>
          <w:highlight w:val="yellow"/>
        </w:rPr>
      </w:pPr>
    </w:p>
    <w:p w14:paraId="62207634" w14:textId="77777777" w:rsidR="00AC33E0" w:rsidRPr="009C69DC" w:rsidRDefault="00AC33E0" w:rsidP="00AC33E0">
      <w:pPr>
        <w:spacing w:after="0"/>
        <w:ind w:right="-24"/>
        <w:rPr>
          <w:rFonts w:cs="Arial"/>
          <w:highlight w:val="yellow"/>
        </w:rPr>
      </w:pPr>
    </w:p>
    <w:p w14:paraId="1263A713" w14:textId="77777777" w:rsidR="00AC33E0" w:rsidRPr="009C69DC" w:rsidRDefault="00AC33E0" w:rsidP="00AC33E0">
      <w:pPr>
        <w:spacing w:after="0"/>
        <w:ind w:right="-24"/>
        <w:rPr>
          <w:rFonts w:cs="Arial"/>
          <w:highlight w:val="yellow"/>
        </w:rPr>
      </w:pPr>
    </w:p>
    <w:p w14:paraId="140D32E3" w14:textId="77777777" w:rsidR="00AC33E0" w:rsidRPr="009C69DC" w:rsidRDefault="00AC33E0" w:rsidP="00AC33E0">
      <w:pPr>
        <w:spacing w:after="0"/>
        <w:ind w:right="-24"/>
        <w:rPr>
          <w:rFonts w:cs="Arial"/>
          <w:highlight w:val="yellow"/>
        </w:rPr>
      </w:pPr>
    </w:p>
    <w:p w14:paraId="5965DDAB" w14:textId="77777777" w:rsidR="00AC33E0" w:rsidRPr="009C69DC" w:rsidRDefault="00AC33E0" w:rsidP="00AC33E0">
      <w:pPr>
        <w:spacing w:after="0"/>
        <w:ind w:right="-24"/>
        <w:rPr>
          <w:rFonts w:cs="Arial"/>
          <w:highlight w:val="yellow"/>
        </w:rPr>
      </w:pPr>
    </w:p>
    <w:p w14:paraId="33F5D398" w14:textId="77777777" w:rsidR="00AC33E0" w:rsidRPr="009C69DC" w:rsidRDefault="00AC33E0" w:rsidP="00AC33E0">
      <w:pPr>
        <w:spacing w:after="0"/>
        <w:ind w:right="-24"/>
        <w:rPr>
          <w:rFonts w:cs="Arial"/>
          <w:highlight w:val="yellow"/>
        </w:rPr>
      </w:pPr>
    </w:p>
    <w:p w14:paraId="78C34C53" w14:textId="77777777" w:rsidR="00AC33E0" w:rsidRPr="009C69DC" w:rsidRDefault="00AC33E0" w:rsidP="00AC33E0">
      <w:pPr>
        <w:spacing w:after="0"/>
        <w:ind w:right="-24"/>
        <w:rPr>
          <w:rFonts w:cs="Arial"/>
          <w:highlight w:val="yellow"/>
        </w:rPr>
      </w:pPr>
    </w:p>
    <w:p w14:paraId="775411BF" w14:textId="77777777" w:rsidR="00AC33E0" w:rsidRPr="009C69DC" w:rsidRDefault="00AC33E0" w:rsidP="00AC33E0">
      <w:pPr>
        <w:spacing w:after="0"/>
        <w:ind w:right="-24"/>
        <w:rPr>
          <w:rFonts w:cs="Arial"/>
          <w:highlight w:val="yellow"/>
        </w:rPr>
      </w:pPr>
    </w:p>
    <w:p w14:paraId="6F39C77E" w14:textId="77777777" w:rsidR="00AC33E0" w:rsidRPr="009C69DC" w:rsidRDefault="00AC33E0" w:rsidP="00AC33E0">
      <w:pPr>
        <w:spacing w:after="0"/>
        <w:ind w:right="-24"/>
        <w:rPr>
          <w:rFonts w:cs="Arial"/>
          <w:highlight w:val="yellow"/>
        </w:rPr>
      </w:pPr>
    </w:p>
    <w:p w14:paraId="16A71766" w14:textId="77777777" w:rsidR="00AC33E0" w:rsidRPr="009C69DC" w:rsidRDefault="00AC33E0" w:rsidP="00AC33E0">
      <w:pPr>
        <w:spacing w:after="0"/>
        <w:ind w:right="-24"/>
        <w:rPr>
          <w:rFonts w:cs="Arial"/>
          <w:highlight w:val="yellow"/>
        </w:rPr>
      </w:pPr>
    </w:p>
    <w:p w14:paraId="233969D1" w14:textId="77777777" w:rsidR="00AC33E0" w:rsidRPr="009C69DC" w:rsidRDefault="00AC33E0" w:rsidP="00AC33E0">
      <w:pPr>
        <w:spacing w:after="0"/>
        <w:ind w:right="-24"/>
        <w:rPr>
          <w:rFonts w:cs="Arial"/>
          <w:highlight w:val="yellow"/>
        </w:rPr>
      </w:pPr>
    </w:p>
    <w:p w14:paraId="6C9D2E85" w14:textId="77777777" w:rsidR="00AC33E0" w:rsidRPr="009C69DC" w:rsidRDefault="00AC33E0" w:rsidP="00AC33E0">
      <w:pPr>
        <w:spacing w:after="0"/>
        <w:ind w:right="-24"/>
        <w:rPr>
          <w:rFonts w:cs="Arial"/>
          <w:highlight w:val="yellow"/>
        </w:rPr>
      </w:pPr>
    </w:p>
    <w:p w14:paraId="650E9BFA" w14:textId="77777777" w:rsidR="00AC33E0" w:rsidRPr="009C69DC" w:rsidRDefault="00AC33E0" w:rsidP="00AC33E0">
      <w:pPr>
        <w:spacing w:after="0"/>
        <w:ind w:right="-24"/>
        <w:rPr>
          <w:rFonts w:cs="Arial"/>
          <w:highlight w:val="yellow"/>
        </w:rPr>
      </w:pPr>
    </w:p>
    <w:p w14:paraId="7C82A2CE" w14:textId="77777777" w:rsidR="00AC33E0" w:rsidRPr="009C69DC" w:rsidRDefault="00AC33E0" w:rsidP="00AC33E0">
      <w:pPr>
        <w:spacing w:after="0"/>
        <w:ind w:right="-24"/>
        <w:rPr>
          <w:rFonts w:cs="Arial"/>
          <w:highlight w:val="yellow"/>
        </w:rPr>
      </w:pPr>
    </w:p>
    <w:p w14:paraId="3AACA2A3" w14:textId="77777777" w:rsidR="00AC33E0" w:rsidRPr="009C69DC" w:rsidRDefault="00AC33E0" w:rsidP="00AC33E0">
      <w:pPr>
        <w:spacing w:after="0"/>
        <w:ind w:right="-24"/>
        <w:rPr>
          <w:rFonts w:cs="Arial"/>
          <w:highlight w:val="yellow"/>
        </w:rPr>
      </w:pPr>
    </w:p>
    <w:p w14:paraId="0BE80CFA" w14:textId="77777777" w:rsidR="00AC33E0" w:rsidRPr="009C69DC" w:rsidRDefault="00AC33E0" w:rsidP="00AC33E0">
      <w:pPr>
        <w:spacing w:after="0"/>
        <w:ind w:right="-24"/>
        <w:rPr>
          <w:rFonts w:cs="Arial"/>
          <w:highlight w:val="yellow"/>
        </w:rPr>
      </w:pPr>
    </w:p>
    <w:p w14:paraId="60468A6A" w14:textId="77777777" w:rsidR="00AC33E0" w:rsidRPr="009C69DC" w:rsidRDefault="00AC33E0" w:rsidP="00AC33E0">
      <w:pPr>
        <w:spacing w:after="0"/>
        <w:ind w:right="-24"/>
        <w:rPr>
          <w:rFonts w:cs="Arial"/>
          <w:highlight w:val="yellow"/>
        </w:rPr>
      </w:pPr>
    </w:p>
    <w:p w14:paraId="0D38FC2C" w14:textId="77777777" w:rsidR="00AC33E0" w:rsidRPr="009C69DC" w:rsidRDefault="00AC33E0" w:rsidP="00AC33E0">
      <w:pPr>
        <w:spacing w:after="0"/>
        <w:ind w:right="-24"/>
        <w:rPr>
          <w:rFonts w:cs="Arial"/>
          <w:highlight w:val="yellow"/>
        </w:rPr>
      </w:pPr>
    </w:p>
    <w:p w14:paraId="5E2EDA88" w14:textId="77777777" w:rsidR="00AC33E0" w:rsidRPr="009C69DC" w:rsidRDefault="00AC33E0" w:rsidP="00AC33E0">
      <w:pPr>
        <w:spacing w:after="0"/>
        <w:ind w:right="-24"/>
        <w:rPr>
          <w:rFonts w:cs="Arial"/>
          <w:highlight w:val="yellow"/>
        </w:rPr>
      </w:pPr>
    </w:p>
    <w:p w14:paraId="4682763D" w14:textId="77777777" w:rsidR="00AC33E0" w:rsidRPr="009C69DC" w:rsidRDefault="00AC33E0" w:rsidP="00AC33E0">
      <w:pPr>
        <w:spacing w:after="0"/>
        <w:ind w:right="-24"/>
        <w:rPr>
          <w:rFonts w:cs="Arial"/>
          <w:highlight w:val="yellow"/>
        </w:rPr>
      </w:pPr>
    </w:p>
    <w:p w14:paraId="15FECC0B" w14:textId="77777777" w:rsidR="00AC33E0" w:rsidRPr="009C69DC" w:rsidRDefault="00AC33E0" w:rsidP="00AC33E0">
      <w:pPr>
        <w:spacing w:after="0"/>
        <w:ind w:right="-24"/>
        <w:rPr>
          <w:rFonts w:cs="Arial"/>
          <w:highlight w:val="yellow"/>
        </w:rPr>
      </w:pPr>
    </w:p>
    <w:p w14:paraId="6AE67937" w14:textId="77777777" w:rsidR="00AC33E0" w:rsidRPr="009C69DC" w:rsidRDefault="00AC33E0" w:rsidP="00AC33E0">
      <w:pPr>
        <w:spacing w:after="0"/>
        <w:ind w:right="-24"/>
        <w:rPr>
          <w:rFonts w:cs="Arial"/>
          <w:highlight w:val="yellow"/>
        </w:rPr>
      </w:pPr>
    </w:p>
    <w:p w14:paraId="26C52E2A" w14:textId="77777777" w:rsidR="00AC33E0" w:rsidRDefault="00AC33E0" w:rsidP="00AC33E0">
      <w:pPr>
        <w:tabs>
          <w:tab w:val="left" w:pos="567"/>
          <w:tab w:val="left" w:pos="1134"/>
        </w:tabs>
        <w:spacing w:after="0"/>
        <w:rPr>
          <w:rFonts w:cs="Arial"/>
          <w:highlight w:val="yellow"/>
        </w:rPr>
      </w:pPr>
    </w:p>
    <w:p w14:paraId="7588CC68" w14:textId="77777777" w:rsidR="00AC33E0" w:rsidRDefault="00AC33E0" w:rsidP="00AC33E0">
      <w:pPr>
        <w:tabs>
          <w:tab w:val="left" w:pos="567"/>
          <w:tab w:val="left" w:pos="1134"/>
        </w:tabs>
        <w:spacing w:after="0"/>
        <w:rPr>
          <w:rFonts w:cs="Arial"/>
          <w:highlight w:val="yellow"/>
        </w:rPr>
      </w:pPr>
    </w:p>
    <w:p w14:paraId="1C16B91B" w14:textId="77777777" w:rsidR="00AC33E0" w:rsidRPr="008A534A" w:rsidRDefault="00AC33E0" w:rsidP="00AC33E0">
      <w:pPr>
        <w:tabs>
          <w:tab w:val="left" w:pos="567"/>
          <w:tab w:val="left" w:pos="1134"/>
        </w:tabs>
        <w:spacing w:after="0"/>
        <w:rPr>
          <w:rFonts w:cs="Arial"/>
          <w:b/>
        </w:rPr>
      </w:pPr>
      <w:r w:rsidRPr="008A534A">
        <w:rPr>
          <w:rFonts w:cs="Arial"/>
          <w:b/>
        </w:rPr>
        <w:lastRenderedPageBreak/>
        <w:t>5. Future Risks and Opportunities</w:t>
      </w:r>
    </w:p>
    <w:p w14:paraId="2EC7F616" w14:textId="77777777" w:rsidR="00AC33E0" w:rsidRPr="008A534A" w:rsidRDefault="00AC33E0" w:rsidP="00AC33E0">
      <w:pPr>
        <w:tabs>
          <w:tab w:val="left" w:pos="567"/>
          <w:tab w:val="left" w:pos="1134"/>
        </w:tabs>
        <w:spacing w:after="0"/>
        <w:rPr>
          <w:rFonts w:cs="Arial"/>
        </w:rPr>
      </w:pPr>
    </w:p>
    <w:p w14:paraId="48386316" w14:textId="77777777" w:rsidR="00AC33E0" w:rsidRPr="008A534A" w:rsidRDefault="00AC33E0" w:rsidP="00AC33E0">
      <w:pPr>
        <w:tabs>
          <w:tab w:val="left" w:pos="567"/>
          <w:tab w:val="left" w:pos="1134"/>
        </w:tabs>
        <w:spacing w:after="0"/>
        <w:rPr>
          <w:rFonts w:cs="Arial"/>
        </w:rPr>
      </w:pPr>
      <w:r w:rsidRPr="008A534A">
        <w:rPr>
          <w:rFonts w:cs="Arial"/>
        </w:rPr>
        <w:t>The following are key future risks, the full impact of which is not known at this stage:</w:t>
      </w:r>
    </w:p>
    <w:p w14:paraId="363E2C91" w14:textId="77777777" w:rsidR="00AC33E0" w:rsidRPr="009C69DC" w:rsidRDefault="00AC33E0" w:rsidP="00AC33E0">
      <w:pPr>
        <w:tabs>
          <w:tab w:val="left" w:pos="567"/>
          <w:tab w:val="left" w:pos="1134"/>
        </w:tabs>
        <w:spacing w:after="0"/>
        <w:rPr>
          <w:rFonts w:cs="Arial"/>
          <w:highlight w:val="yellow"/>
        </w:rPr>
      </w:pPr>
    </w:p>
    <w:p w14:paraId="0A408DE5" w14:textId="77777777" w:rsidR="00AC33E0" w:rsidRPr="008A534A" w:rsidRDefault="00AC33E0" w:rsidP="00AC33E0">
      <w:pPr>
        <w:tabs>
          <w:tab w:val="left" w:pos="567"/>
          <w:tab w:val="left" w:pos="1134"/>
        </w:tabs>
        <w:spacing w:after="0"/>
        <w:rPr>
          <w:rFonts w:cs="Arial"/>
          <w:b/>
        </w:rPr>
      </w:pPr>
      <w:r w:rsidRPr="008A534A">
        <w:rPr>
          <w:rFonts w:cs="Arial"/>
          <w:b/>
        </w:rPr>
        <w:t>5.1 Savings Delivery</w:t>
      </w:r>
    </w:p>
    <w:p w14:paraId="69904E26" w14:textId="77777777" w:rsidR="00AC33E0" w:rsidRPr="009C69DC" w:rsidRDefault="00AC33E0" w:rsidP="00AC33E0">
      <w:pPr>
        <w:pStyle w:val="PlainText"/>
        <w:rPr>
          <w:rFonts w:ascii="Arial" w:hAnsi="Arial" w:cs="Arial"/>
          <w:sz w:val="24"/>
          <w:szCs w:val="24"/>
          <w:highlight w:val="yellow"/>
        </w:rPr>
      </w:pPr>
    </w:p>
    <w:p w14:paraId="6012FE57" w14:textId="474F842F" w:rsidR="00AC33E0" w:rsidRPr="008A534A" w:rsidRDefault="00AC33E0" w:rsidP="00AC33E0">
      <w:pPr>
        <w:spacing w:after="0"/>
        <w:rPr>
          <w:rFonts w:cs="Arial"/>
        </w:rPr>
      </w:pPr>
      <w:r w:rsidRPr="008A534A">
        <w:rPr>
          <w:rFonts w:cs="Arial"/>
        </w:rPr>
        <w:t xml:space="preserve">The scale </w:t>
      </w:r>
      <w:r w:rsidR="00FF0CA9">
        <w:rPr>
          <w:rFonts w:cs="Arial"/>
        </w:rPr>
        <w:t xml:space="preserve">of </w:t>
      </w:r>
      <w:r w:rsidRPr="008A534A">
        <w:rPr>
          <w:rFonts w:cs="Arial"/>
        </w:rPr>
        <w:t xml:space="preserve">savings agreed to be delivered over future financial years </w:t>
      </w:r>
      <w:r w:rsidR="00FF0CA9">
        <w:rPr>
          <w:rFonts w:cs="Arial"/>
        </w:rPr>
        <w:t>is</w:t>
      </w:r>
      <w:r w:rsidR="00FF0CA9" w:rsidRPr="008A534A">
        <w:rPr>
          <w:rFonts w:cs="Arial"/>
        </w:rPr>
        <w:t xml:space="preserve"> </w:t>
      </w:r>
      <w:r w:rsidRPr="008A534A">
        <w:rPr>
          <w:rFonts w:cs="Arial"/>
        </w:rPr>
        <w:t xml:space="preserve">significant with c£120m to be delivered over the period 2019/20 – 2022/23. There are inherent risks in the delivery of any savings programme of this scale, particularly where they are directly linked to reducing the future demand for services.  However, there is a strong track record of delivery of the vast majority of previous savings plans. Furthermore, a number of services have properly identified the need to invest in both temporary and recurrent resources to provide </w:t>
      </w:r>
      <w:r w:rsidR="00800589">
        <w:rPr>
          <w:rFonts w:cs="Arial"/>
        </w:rPr>
        <w:t xml:space="preserve">the </w:t>
      </w:r>
      <w:r w:rsidRPr="008A534A">
        <w:rPr>
          <w:rFonts w:cs="Arial"/>
        </w:rPr>
        <w:t xml:space="preserve">additional </w:t>
      </w:r>
      <w:r w:rsidR="00FF0CA9">
        <w:rPr>
          <w:rFonts w:cs="Arial"/>
        </w:rPr>
        <w:t xml:space="preserve">capability and </w:t>
      </w:r>
      <w:r w:rsidRPr="008A534A">
        <w:rPr>
          <w:rFonts w:cs="Arial"/>
        </w:rPr>
        <w:t>capacity needed to deliver the savings proposed.</w:t>
      </w:r>
    </w:p>
    <w:p w14:paraId="53B43715" w14:textId="77777777" w:rsidR="00AC33E0" w:rsidRPr="008A534A" w:rsidRDefault="00AC33E0" w:rsidP="00AC33E0">
      <w:pPr>
        <w:spacing w:after="0"/>
        <w:rPr>
          <w:rFonts w:cs="Arial"/>
        </w:rPr>
      </w:pPr>
    </w:p>
    <w:p w14:paraId="43B1F48C" w14:textId="77777777" w:rsidR="00AC33E0" w:rsidRPr="008A534A" w:rsidRDefault="00AC33E0" w:rsidP="00AC33E0">
      <w:pPr>
        <w:spacing w:after="0"/>
        <w:rPr>
          <w:rFonts w:cs="Arial"/>
        </w:rPr>
      </w:pPr>
      <w:r w:rsidRPr="008A534A">
        <w:rPr>
          <w:rFonts w:cs="Arial"/>
        </w:rPr>
        <w:t>As highlighted within this report, any significant under-delivery or slippage to delivery timeframes will create an additional funding pressure and impact on the ongoing and longer-term financial health of the council.  This has been identified as one of the highest risks in the risk and opportunity register.  There are comprehensive arrangements in place to track delivery of financial savings and take corrective actions where required. Where services are experiencing a potential negative variance in their savings plans, managers are actively seeking to meet any shortfalls through other activities within their service area.</w:t>
      </w:r>
    </w:p>
    <w:p w14:paraId="1CFF897C" w14:textId="77777777" w:rsidR="00AC33E0" w:rsidRPr="009C69DC" w:rsidRDefault="00AC33E0" w:rsidP="00AC33E0">
      <w:pPr>
        <w:spacing w:after="0"/>
        <w:rPr>
          <w:rFonts w:cs="Arial"/>
          <w:highlight w:val="yellow"/>
        </w:rPr>
      </w:pPr>
    </w:p>
    <w:p w14:paraId="124A1FBC" w14:textId="2DECD039" w:rsidR="00AC33E0" w:rsidRDefault="00AC33E0" w:rsidP="00AC33E0">
      <w:pPr>
        <w:tabs>
          <w:tab w:val="left" w:pos="567"/>
          <w:tab w:val="left" w:pos="1134"/>
        </w:tabs>
        <w:spacing w:after="0"/>
        <w:rPr>
          <w:rFonts w:cs="Arial"/>
        </w:rPr>
      </w:pPr>
      <w:r w:rsidRPr="004177E4">
        <w:rPr>
          <w:rFonts w:cs="Arial"/>
        </w:rPr>
        <w:t>The financial gap includes the impact of service challenge savings that were agreed as part of the 2019/20 budget by full council in February 2019 totalling c£77m. £14.457m of the savings proposals were subject to the outcome of specific consultations needing to be undertaken. Many of the consultations have now been undertaken</w:t>
      </w:r>
      <w:r w:rsidRPr="008A534A">
        <w:rPr>
          <w:rFonts w:cs="Arial"/>
        </w:rPr>
        <w:t xml:space="preserve">, </w:t>
      </w:r>
      <w:r w:rsidR="00800589">
        <w:rPr>
          <w:rFonts w:cs="Arial"/>
        </w:rPr>
        <w:t>and</w:t>
      </w:r>
      <w:r w:rsidR="00800589" w:rsidRPr="008A534A">
        <w:rPr>
          <w:rFonts w:cs="Arial"/>
        </w:rPr>
        <w:t xml:space="preserve"> </w:t>
      </w:r>
      <w:r w:rsidRPr="008A534A">
        <w:rPr>
          <w:rFonts w:cs="Arial"/>
        </w:rPr>
        <w:t xml:space="preserve">this has resulted in some amendments to the </w:t>
      </w:r>
      <w:r w:rsidR="00800589">
        <w:rPr>
          <w:rFonts w:cs="Arial"/>
        </w:rPr>
        <w:t>value of the savings and the delivery of them</w:t>
      </w:r>
      <w:r w:rsidRPr="008A534A">
        <w:rPr>
          <w:rFonts w:cs="Arial"/>
        </w:rPr>
        <w:t xml:space="preserve">.  </w:t>
      </w:r>
      <w:r>
        <w:rPr>
          <w:rFonts w:cs="Arial"/>
        </w:rPr>
        <w:t>The most significant change following consultations relates to the revised payments for sleep-ins, resulting in a reduction in savings of £2.1m that has now been reflected in the MTFS as part of this report. However, t</w:t>
      </w:r>
      <w:r w:rsidRPr="008A534A">
        <w:rPr>
          <w:rFonts w:cs="Arial"/>
        </w:rPr>
        <w:t xml:space="preserve">he remaining consultations will be reported back to </w:t>
      </w:r>
      <w:r w:rsidR="005B099C">
        <w:rPr>
          <w:rFonts w:cs="Arial"/>
        </w:rPr>
        <w:t>c</w:t>
      </w:r>
      <w:r w:rsidRPr="008A534A">
        <w:rPr>
          <w:rFonts w:cs="Arial"/>
        </w:rPr>
        <w:t>abinet to make a final decision with regard to their implementation over coming months, wi</w:t>
      </w:r>
      <w:r>
        <w:rPr>
          <w:rFonts w:cs="Arial"/>
        </w:rPr>
        <w:t xml:space="preserve">th the MTFS updated as required. At this stage it is still expected that savings delivery will be an exceptionally high percentage overall of the savings agreed. </w:t>
      </w:r>
    </w:p>
    <w:p w14:paraId="40B01FED" w14:textId="77777777" w:rsidR="00AC33E0" w:rsidRDefault="00AC33E0" w:rsidP="00AC33E0">
      <w:pPr>
        <w:tabs>
          <w:tab w:val="left" w:pos="567"/>
          <w:tab w:val="left" w:pos="1134"/>
        </w:tabs>
        <w:spacing w:after="0"/>
        <w:rPr>
          <w:rFonts w:cs="Arial"/>
        </w:rPr>
      </w:pPr>
    </w:p>
    <w:p w14:paraId="3FC59C84" w14:textId="77777777" w:rsidR="00AC33E0" w:rsidRPr="00996DB3" w:rsidRDefault="00AC33E0" w:rsidP="00AC33E0">
      <w:pPr>
        <w:tabs>
          <w:tab w:val="left" w:pos="567"/>
          <w:tab w:val="left" w:pos="1134"/>
        </w:tabs>
        <w:spacing w:after="0"/>
        <w:rPr>
          <w:rFonts w:cs="Arial"/>
          <w:b/>
        </w:rPr>
      </w:pPr>
      <w:r w:rsidRPr="00996DB3">
        <w:rPr>
          <w:rFonts w:cs="Arial"/>
          <w:b/>
        </w:rPr>
        <w:t>5.2 Further Savings Opportunities</w:t>
      </w:r>
    </w:p>
    <w:p w14:paraId="1B12507E" w14:textId="77777777" w:rsidR="00AC33E0" w:rsidRDefault="00AC33E0" w:rsidP="00AC33E0">
      <w:pPr>
        <w:tabs>
          <w:tab w:val="left" w:pos="567"/>
          <w:tab w:val="left" w:pos="1134"/>
        </w:tabs>
        <w:spacing w:after="0"/>
        <w:rPr>
          <w:rFonts w:cs="Arial"/>
        </w:rPr>
      </w:pPr>
    </w:p>
    <w:p w14:paraId="3E93D42A" w14:textId="70FCDDB1" w:rsidR="00D33D4B" w:rsidRDefault="00AC33E0" w:rsidP="00D33D4B">
      <w:pPr>
        <w:tabs>
          <w:tab w:val="left" w:pos="567"/>
          <w:tab w:val="left" w:pos="1134"/>
        </w:tabs>
        <w:spacing w:after="0"/>
        <w:rPr>
          <w:rFonts w:cs="Arial"/>
        </w:rPr>
      </w:pPr>
      <w:r>
        <w:rPr>
          <w:rFonts w:cs="Arial"/>
        </w:rPr>
        <w:t xml:space="preserve">As noted in the body of the report, phase 1 of the service challenge process also identified </w:t>
      </w:r>
      <w:r w:rsidRPr="00DB4FFF">
        <w:rPr>
          <w:rFonts w:cs="Arial"/>
        </w:rPr>
        <w:t>a number of cross-cutting work</w:t>
      </w:r>
      <w:r>
        <w:rPr>
          <w:rFonts w:cs="Arial"/>
        </w:rPr>
        <w:t xml:space="preserve"> </w:t>
      </w:r>
      <w:r w:rsidRPr="00DB4FFF">
        <w:rPr>
          <w:rFonts w:cs="Arial"/>
        </w:rPr>
        <w:t xml:space="preserve">streams and areas for investigation and review </w:t>
      </w:r>
      <w:r>
        <w:rPr>
          <w:rFonts w:cs="Arial"/>
        </w:rPr>
        <w:t xml:space="preserve">which are being taken forward as part of the service challenge phase 2 process.  These work streams are necessarily complex, requiring a fundamental challenge off, in many cases, longstanding organisational approaches, systems and processes to enable both service improvements and cost savings to be identified.   Whilst updated financial benchmarking data, covering the 2019/20 budget, has identified an overall positive change in the cost of service position of the council relative to other county councils, some services still remain at a relatively significant higher cost overall than the mean or median county council.  </w:t>
      </w:r>
    </w:p>
    <w:p w14:paraId="3ABF2E41" w14:textId="77777777" w:rsidR="00D33D4B" w:rsidRDefault="00D33D4B" w:rsidP="00D33D4B">
      <w:pPr>
        <w:tabs>
          <w:tab w:val="left" w:pos="567"/>
          <w:tab w:val="left" w:pos="1134"/>
        </w:tabs>
        <w:spacing w:after="0"/>
        <w:rPr>
          <w:rFonts w:cs="Arial"/>
        </w:rPr>
      </w:pPr>
    </w:p>
    <w:p w14:paraId="62966454" w14:textId="483F2D71" w:rsidR="00D33D4B" w:rsidRPr="009C69DC" w:rsidRDefault="00D33D4B" w:rsidP="00D33D4B">
      <w:pPr>
        <w:tabs>
          <w:tab w:val="left" w:pos="567"/>
          <w:tab w:val="left" w:pos="1134"/>
        </w:tabs>
        <w:spacing w:after="0"/>
        <w:rPr>
          <w:rFonts w:cs="Arial"/>
          <w:highlight w:val="yellow"/>
        </w:rPr>
      </w:pPr>
      <w:r>
        <w:rPr>
          <w:rFonts w:cs="Arial"/>
        </w:rPr>
        <w:lastRenderedPageBreak/>
        <w:t>Work is progressing on p</w:t>
      </w:r>
      <w:r w:rsidRPr="00DB4FFF">
        <w:rPr>
          <w:rFonts w:cs="Arial"/>
        </w:rPr>
        <w:t xml:space="preserve">hase two of the service challenge process </w:t>
      </w:r>
      <w:r>
        <w:rPr>
          <w:rFonts w:cs="Arial"/>
        </w:rPr>
        <w:t xml:space="preserve">which </w:t>
      </w:r>
      <w:r w:rsidRPr="00DB4FFF">
        <w:rPr>
          <w:rFonts w:cs="Arial"/>
        </w:rPr>
        <w:t xml:space="preserve">will seek to address the ongoing deficit </w:t>
      </w:r>
      <w:r>
        <w:rPr>
          <w:rFonts w:cs="Arial"/>
        </w:rPr>
        <w:t xml:space="preserve">and is </w:t>
      </w:r>
      <w:r w:rsidRPr="00DB4FFF">
        <w:rPr>
          <w:rFonts w:cs="Arial"/>
        </w:rPr>
        <w:t>focus</w:t>
      </w:r>
      <w:r>
        <w:rPr>
          <w:rFonts w:cs="Arial"/>
        </w:rPr>
        <w:t>ing</w:t>
      </w:r>
      <w:r w:rsidRPr="00DB4FFF">
        <w:rPr>
          <w:rFonts w:cs="Arial"/>
        </w:rPr>
        <w:t xml:space="preserve"> on a number of cross-cutting work</w:t>
      </w:r>
      <w:r>
        <w:rPr>
          <w:rFonts w:cs="Arial"/>
        </w:rPr>
        <w:t xml:space="preserve"> </w:t>
      </w:r>
      <w:r w:rsidRPr="00DB4FFF">
        <w:rPr>
          <w:rFonts w:cs="Arial"/>
        </w:rPr>
        <w:t>streams and areas for investigation and review identified in the initial phase</w:t>
      </w:r>
      <w:r>
        <w:rPr>
          <w:rFonts w:cs="Arial"/>
        </w:rPr>
        <w:t>,</w:t>
      </w:r>
      <w:r w:rsidRPr="00DB4FFF">
        <w:rPr>
          <w:rFonts w:cs="Arial"/>
        </w:rPr>
        <w:t xml:space="preserve"> but where further work is </w:t>
      </w:r>
      <w:r>
        <w:rPr>
          <w:rFonts w:cs="Arial"/>
        </w:rPr>
        <w:t xml:space="preserve">needed </w:t>
      </w:r>
      <w:r w:rsidRPr="00DB4FFF">
        <w:rPr>
          <w:rFonts w:cs="Arial"/>
        </w:rPr>
        <w:t xml:space="preserve">to </w:t>
      </w:r>
      <w:r>
        <w:rPr>
          <w:rFonts w:cs="Arial"/>
        </w:rPr>
        <w:t xml:space="preserve">robustly </w:t>
      </w:r>
      <w:r w:rsidRPr="00DB4FFF">
        <w:rPr>
          <w:rFonts w:cs="Arial"/>
        </w:rPr>
        <w:t xml:space="preserve">evidence </w:t>
      </w:r>
      <w:r>
        <w:rPr>
          <w:rFonts w:cs="Arial"/>
        </w:rPr>
        <w:t xml:space="preserve">the scale and form of </w:t>
      </w:r>
      <w:r w:rsidRPr="00DB4FFF">
        <w:rPr>
          <w:rFonts w:cs="Arial"/>
        </w:rPr>
        <w:t>proposal</w:t>
      </w:r>
      <w:r>
        <w:rPr>
          <w:rFonts w:cs="Arial"/>
        </w:rPr>
        <w:t>s</w:t>
      </w:r>
      <w:r w:rsidRPr="00DB4FFF">
        <w:rPr>
          <w:rFonts w:cs="Arial"/>
        </w:rPr>
        <w:t xml:space="preserve">.  </w:t>
      </w:r>
      <w:r>
        <w:rPr>
          <w:rFonts w:cs="Arial"/>
        </w:rPr>
        <w:t>In particular, service challenge phase 2 is focused on the complex levers required to create an environment where service configuration and operational practice reflects best in class and supports demand management which is the single biggest driver on our costs. A separate report on this issue is included in this cabinet's agenda and f</w:t>
      </w:r>
      <w:r w:rsidRPr="00DB4FFF">
        <w:rPr>
          <w:rFonts w:cs="Arial"/>
        </w:rPr>
        <w:t xml:space="preserve">urther saving proposals will come forward for consideration at future Cabinet meetings.  </w:t>
      </w:r>
    </w:p>
    <w:p w14:paraId="1DFE6454" w14:textId="6B2151E4" w:rsidR="00AC33E0" w:rsidRPr="009C69DC" w:rsidRDefault="00AC33E0" w:rsidP="00AC33E0">
      <w:pPr>
        <w:tabs>
          <w:tab w:val="left" w:pos="567"/>
          <w:tab w:val="left" w:pos="1134"/>
        </w:tabs>
        <w:spacing w:after="0"/>
        <w:rPr>
          <w:rFonts w:cs="Arial"/>
          <w:highlight w:val="yellow"/>
        </w:rPr>
      </w:pPr>
    </w:p>
    <w:p w14:paraId="435B9FDD" w14:textId="77777777" w:rsidR="00AC33E0" w:rsidRPr="00D20A9B" w:rsidRDefault="00AC33E0" w:rsidP="00AC33E0">
      <w:pPr>
        <w:tabs>
          <w:tab w:val="left" w:pos="567"/>
          <w:tab w:val="left" w:pos="1134"/>
        </w:tabs>
        <w:spacing w:after="0"/>
        <w:rPr>
          <w:rFonts w:cs="Arial"/>
          <w:b/>
        </w:rPr>
      </w:pPr>
      <w:r>
        <w:rPr>
          <w:rFonts w:cs="Arial"/>
          <w:b/>
        </w:rPr>
        <w:t>5.3</w:t>
      </w:r>
      <w:r w:rsidRPr="00D20A9B">
        <w:rPr>
          <w:rFonts w:cs="Arial"/>
          <w:b/>
        </w:rPr>
        <w:t xml:space="preserve"> Business Rates Retention / Changes to Funding Formula</w:t>
      </w:r>
    </w:p>
    <w:p w14:paraId="2D10C7B7" w14:textId="77777777" w:rsidR="00AC33E0" w:rsidRPr="00D20A9B" w:rsidRDefault="00AC33E0" w:rsidP="00AC33E0">
      <w:pPr>
        <w:tabs>
          <w:tab w:val="left" w:pos="567"/>
          <w:tab w:val="left" w:pos="1134"/>
        </w:tabs>
        <w:spacing w:after="0"/>
        <w:rPr>
          <w:rFonts w:cs="Arial"/>
          <w:b/>
        </w:rPr>
      </w:pPr>
    </w:p>
    <w:p w14:paraId="77CA7691" w14:textId="2F904431" w:rsidR="00AC33E0" w:rsidRPr="008A534A" w:rsidRDefault="00AC33E0" w:rsidP="00AC33E0">
      <w:pPr>
        <w:tabs>
          <w:tab w:val="left" w:pos="567"/>
          <w:tab w:val="left" w:pos="1134"/>
        </w:tabs>
        <w:spacing w:after="0"/>
        <w:rPr>
          <w:rFonts w:cs="Arial"/>
        </w:rPr>
      </w:pPr>
      <w:r w:rsidRPr="00D20A9B">
        <w:rPr>
          <w:rFonts w:cs="Arial"/>
        </w:rPr>
        <w:t xml:space="preserve">As previously explained, the future funding arrangements to be established by government pose a risk to the council as they may reduce funding below that is assumed in the MTFS. Conversely there is equally an opportunity that additional resources are made available through this process.  </w:t>
      </w:r>
      <w:r w:rsidRPr="008A534A">
        <w:rPr>
          <w:rFonts w:cs="Arial"/>
        </w:rPr>
        <w:t xml:space="preserve">The successful outcome of the Lancashire business rate pilot bid presents one-off additional funding for Lancashire and gives the county council an opportunity to pilot increased business rates retention. This should enable the county council, districts, unitaries and fire authority to be well prepared for the implementation of the business rates retention scheme although the final details are not known at this stage. </w:t>
      </w:r>
    </w:p>
    <w:p w14:paraId="2D3396A2" w14:textId="77777777" w:rsidR="00AC33E0" w:rsidRPr="008A534A" w:rsidRDefault="00AC33E0" w:rsidP="00AC33E0">
      <w:pPr>
        <w:tabs>
          <w:tab w:val="left" w:pos="567"/>
          <w:tab w:val="left" w:pos="1134"/>
        </w:tabs>
        <w:spacing w:after="0"/>
        <w:rPr>
          <w:rFonts w:cs="Arial"/>
        </w:rPr>
      </w:pPr>
    </w:p>
    <w:p w14:paraId="2F26855E" w14:textId="77777777" w:rsidR="00AC33E0" w:rsidRPr="008A534A" w:rsidRDefault="00AC33E0" w:rsidP="00AC33E0">
      <w:pPr>
        <w:tabs>
          <w:tab w:val="left" w:pos="567"/>
          <w:tab w:val="left" w:pos="1134"/>
        </w:tabs>
        <w:spacing w:after="0"/>
        <w:rPr>
          <w:rFonts w:cs="Arial"/>
          <w:b/>
        </w:rPr>
      </w:pPr>
      <w:r w:rsidRPr="008A534A">
        <w:rPr>
          <w:rFonts w:cs="Arial"/>
          <w:b/>
        </w:rPr>
        <w:t>5.</w:t>
      </w:r>
      <w:r>
        <w:rPr>
          <w:rFonts w:cs="Arial"/>
          <w:b/>
        </w:rPr>
        <w:t>4</w:t>
      </w:r>
      <w:r w:rsidRPr="008A534A">
        <w:rPr>
          <w:rFonts w:cs="Arial"/>
          <w:b/>
        </w:rPr>
        <w:t xml:space="preserve"> Children's Social Care</w:t>
      </w:r>
    </w:p>
    <w:p w14:paraId="73D729AF" w14:textId="77777777" w:rsidR="00AC33E0" w:rsidRPr="008A534A" w:rsidRDefault="00AC33E0" w:rsidP="00AC33E0">
      <w:pPr>
        <w:tabs>
          <w:tab w:val="left" w:pos="567"/>
          <w:tab w:val="left" w:pos="1134"/>
        </w:tabs>
        <w:spacing w:after="0"/>
        <w:rPr>
          <w:rFonts w:cs="Arial"/>
          <w:b/>
        </w:rPr>
      </w:pPr>
    </w:p>
    <w:p w14:paraId="206703CE" w14:textId="77777777" w:rsidR="00AC33E0" w:rsidRPr="008A534A" w:rsidRDefault="00AC33E0" w:rsidP="00AC33E0">
      <w:pPr>
        <w:tabs>
          <w:tab w:val="left" w:pos="567"/>
          <w:tab w:val="left" w:pos="1134"/>
        </w:tabs>
        <w:spacing w:after="0"/>
        <w:rPr>
          <w:rFonts w:cs="Arial"/>
        </w:rPr>
      </w:pPr>
      <w:r w:rsidRPr="008A534A">
        <w:rPr>
          <w:rFonts w:cs="Arial"/>
        </w:rPr>
        <w:t xml:space="preserve">Children's social care demand levels are forecast to continue to increase, particularly within agency residential placements, agency fostering placements and also special guardianship orders. Although the rate of growth is quite volatile, over recent months it has slowed down slightly. </w:t>
      </w:r>
    </w:p>
    <w:p w14:paraId="2B09B899" w14:textId="77777777" w:rsidR="00AC33E0" w:rsidRPr="008A534A" w:rsidRDefault="00AC33E0" w:rsidP="00AC33E0">
      <w:pPr>
        <w:tabs>
          <w:tab w:val="left" w:pos="567"/>
          <w:tab w:val="left" w:pos="1134"/>
        </w:tabs>
        <w:spacing w:after="0"/>
        <w:rPr>
          <w:rFonts w:cs="Arial"/>
        </w:rPr>
      </w:pPr>
    </w:p>
    <w:p w14:paraId="591D0364" w14:textId="25621B58" w:rsidR="00C54FB9" w:rsidRPr="009C69DC" w:rsidRDefault="00AC33E0" w:rsidP="00C54FB9">
      <w:pPr>
        <w:spacing w:after="0"/>
        <w:rPr>
          <w:rFonts w:cs="Arial"/>
          <w:highlight w:val="yellow"/>
        </w:rPr>
      </w:pPr>
      <w:r w:rsidRPr="008A534A">
        <w:rPr>
          <w:rFonts w:cs="Arial"/>
        </w:rPr>
        <w:t xml:space="preserve">Significant additional budget was allocated to children's social support improvements and demand pressures over the past 3 years. An assumption within this MTFS is made that demand will plateau in future years, and a reducing demand increase has been built into future year's budget. </w:t>
      </w:r>
      <w:r w:rsidR="00C54FB9">
        <w:rPr>
          <w:rFonts w:cs="Arial"/>
        </w:rPr>
        <w:t xml:space="preserve">The service has been looking at best practice sites across the country to explore opportunities to reduce demand in a way that delivers better outcomes for </w:t>
      </w:r>
      <w:r w:rsidR="005B099C">
        <w:rPr>
          <w:rFonts w:cs="Arial"/>
        </w:rPr>
        <w:t>c</w:t>
      </w:r>
      <w:r w:rsidR="00C54FB9">
        <w:rPr>
          <w:rFonts w:cs="Arial"/>
        </w:rPr>
        <w:t xml:space="preserve">hildren but as yet no formal conclusions have been reached and hence </w:t>
      </w:r>
      <w:r w:rsidR="005B099C">
        <w:rPr>
          <w:rFonts w:cs="Arial"/>
        </w:rPr>
        <w:t xml:space="preserve">any potential impact </w:t>
      </w:r>
      <w:r w:rsidR="00C54FB9">
        <w:rPr>
          <w:rFonts w:cs="Arial"/>
        </w:rPr>
        <w:t>is not included in the MTFS.</w:t>
      </w:r>
      <w:r w:rsidR="00C54FB9" w:rsidRPr="004E729B">
        <w:rPr>
          <w:rFonts w:cs="Arial"/>
        </w:rPr>
        <w:t xml:space="preserve"> </w:t>
      </w:r>
    </w:p>
    <w:p w14:paraId="40825849" w14:textId="77777777" w:rsidR="00AC33E0" w:rsidRPr="009C69DC" w:rsidRDefault="00AC33E0" w:rsidP="00AC33E0">
      <w:pPr>
        <w:tabs>
          <w:tab w:val="left" w:pos="567"/>
          <w:tab w:val="left" w:pos="1134"/>
        </w:tabs>
        <w:spacing w:after="0"/>
        <w:rPr>
          <w:rFonts w:cs="Arial"/>
          <w:highlight w:val="yellow"/>
        </w:rPr>
      </w:pPr>
    </w:p>
    <w:p w14:paraId="6381C4FB" w14:textId="77777777" w:rsidR="00AC33E0" w:rsidRPr="008A534A" w:rsidRDefault="00AC33E0" w:rsidP="00AC33E0">
      <w:pPr>
        <w:tabs>
          <w:tab w:val="left" w:pos="567"/>
          <w:tab w:val="left" w:pos="1134"/>
        </w:tabs>
        <w:spacing w:after="0"/>
        <w:rPr>
          <w:rFonts w:cs="Arial"/>
          <w:b/>
        </w:rPr>
      </w:pPr>
      <w:r w:rsidRPr="008A534A">
        <w:rPr>
          <w:rFonts w:cs="Arial"/>
          <w:b/>
        </w:rPr>
        <w:t>5.</w:t>
      </w:r>
      <w:r>
        <w:rPr>
          <w:rFonts w:cs="Arial"/>
          <w:b/>
        </w:rPr>
        <w:t>5</w:t>
      </w:r>
      <w:r w:rsidRPr="008A534A">
        <w:rPr>
          <w:rFonts w:cs="Arial"/>
          <w:b/>
        </w:rPr>
        <w:t xml:space="preserve"> Troubled Families Funding</w:t>
      </w:r>
    </w:p>
    <w:p w14:paraId="046EB092" w14:textId="77777777" w:rsidR="00AC33E0" w:rsidRPr="008A534A" w:rsidRDefault="00AC33E0" w:rsidP="00AC33E0">
      <w:pPr>
        <w:tabs>
          <w:tab w:val="left" w:pos="567"/>
          <w:tab w:val="left" w:pos="1134"/>
        </w:tabs>
        <w:spacing w:after="0"/>
        <w:rPr>
          <w:rFonts w:cs="Arial"/>
          <w:b/>
        </w:rPr>
      </w:pPr>
    </w:p>
    <w:p w14:paraId="25788D49" w14:textId="77777777" w:rsidR="00AC33E0" w:rsidRPr="008A534A" w:rsidRDefault="00AC33E0" w:rsidP="00AC33E0">
      <w:pPr>
        <w:tabs>
          <w:tab w:val="left" w:pos="567"/>
          <w:tab w:val="left" w:pos="1134"/>
        </w:tabs>
        <w:spacing w:after="0"/>
        <w:rPr>
          <w:rFonts w:cs="Arial"/>
        </w:rPr>
      </w:pPr>
      <w:r w:rsidRPr="008A534A">
        <w:rPr>
          <w:rFonts w:cs="Arial"/>
        </w:rPr>
        <w:t xml:space="preserve">The county council currently receives funding towards working with troubled families. Where we have received written confirmation of troubled families funding this has been included in the MTFS. Post 2019/20 however, there is no information available as to </w:t>
      </w:r>
      <w:r w:rsidRPr="00171EC5">
        <w:rPr>
          <w:rFonts w:cs="Arial"/>
        </w:rPr>
        <w:t>whether this funding will continue. It is assumed that funding levels will remain at 2019/20 levels. If the funding does cease this will result in a pressure on the budget of £2.1m. Given the lack of clarity we have discussed this with other Local Authorities in a similar position</w:t>
      </w:r>
      <w:r w:rsidRPr="008A534A">
        <w:rPr>
          <w:rFonts w:cs="Arial"/>
        </w:rPr>
        <w:t xml:space="preserve">, as to the approach they are taking, and they have confirmed that they are also forecasting the funding to continue, but this will be closely monitored as announcements relating to funding are to be made imminently and outcomes will be reflected in future MTFS reports. </w:t>
      </w:r>
    </w:p>
    <w:p w14:paraId="1CD0DE7F" w14:textId="28E5CBD4" w:rsidR="00AC33E0" w:rsidRDefault="00AC33E0" w:rsidP="00AC33E0">
      <w:pPr>
        <w:tabs>
          <w:tab w:val="left" w:pos="567"/>
          <w:tab w:val="left" w:pos="1134"/>
        </w:tabs>
        <w:spacing w:after="0"/>
        <w:rPr>
          <w:rFonts w:cs="Arial"/>
          <w:highlight w:val="yellow"/>
        </w:rPr>
      </w:pPr>
    </w:p>
    <w:p w14:paraId="6D602514" w14:textId="77777777" w:rsidR="004177E4" w:rsidRDefault="004177E4" w:rsidP="00AC33E0">
      <w:pPr>
        <w:tabs>
          <w:tab w:val="left" w:pos="567"/>
          <w:tab w:val="left" w:pos="1134"/>
        </w:tabs>
        <w:spacing w:after="0"/>
        <w:rPr>
          <w:rFonts w:cs="Arial"/>
          <w:b/>
        </w:rPr>
      </w:pPr>
    </w:p>
    <w:p w14:paraId="13F471BA" w14:textId="0EF879AA" w:rsidR="00AC33E0" w:rsidRPr="00846C6D" w:rsidRDefault="00AC33E0" w:rsidP="00AC33E0">
      <w:pPr>
        <w:tabs>
          <w:tab w:val="left" w:pos="567"/>
          <w:tab w:val="left" w:pos="1134"/>
        </w:tabs>
        <w:spacing w:after="0"/>
        <w:rPr>
          <w:rFonts w:cs="Arial"/>
          <w:b/>
        </w:rPr>
      </w:pPr>
      <w:r w:rsidRPr="00846C6D">
        <w:rPr>
          <w:rFonts w:cs="Arial"/>
          <w:b/>
        </w:rPr>
        <w:lastRenderedPageBreak/>
        <w:t>5.</w:t>
      </w:r>
      <w:r>
        <w:rPr>
          <w:rFonts w:cs="Arial"/>
          <w:b/>
        </w:rPr>
        <w:t>6</w:t>
      </w:r>
      <w:r w:rsidRPr="00846C6D">
        <w:rPr>
          <w:rFonts w:cs="Arial"/>
          <w:b/>
        </w:rPr>
        <w:t xml:space="preserve"> MTFS Assumptions and Scenario Analysis</w:t>
      </w:r>
    </w:p>
    <w:p w14:paraId="23BB99E7" w14:textId="77777777" w:rsidR="00AC33E0" w:rsidRPr="00656200" w:rsidRDefault="00AC33E0" w:rsidP="00AC33E0">
      <w:pPr>
        <w:tabs>
          <w:tab w:val="left" w:pos="567"/>
          <w:tab w:val="left" w:pos="1134"/>
        </w:tabs>
        <w:spacing w:after="0"/>
        <w:rPr>
          <w:rFonts w:cs="Arial"/>
          <w:b/>
          <w:highlight w:val="yellow"/>
        </w:rPr>
      </w:pPr>
    </w:p>
    <w:p w14:paraId="6F0C08A2" w14:textId="77777777" w:rsidR="00AC33E0" w:rsidRPr="00846C6D" w:rsidRDefault="00AC33E0" w:rsidP="00AC33E0">
      <w:pPr>
        <w:tabs>
          <w:tab w:val="left" w:pos="567"/>
          <w:tab w:val="left" w:pos="1134"/>
        </w:tabs>
        <w:spacing w:after="0"/>
        <w:rPr>
          <w:rFonts w:cs="Arial"/>
        </w:rPr>
      </w:pPr>
      <w:r w:rsidRPr="00846C6D">
        <w:rPr>
          <w:rFonts w:cs="Arial"/>
        </w:rPr>
        <w:t xml:space="preserve">In preparing the MTFS a range of assumptions are made and to assess the level of risk inherent in the decisions being taken some of these have been stress tested against alternative scenarios. </w:t>
      </w:r>
    </w:p>
    <w:p w14:paraId="3BB42743" w14:textId="77777777" w:rsidR="00AC33E0" w:rsidRPr="00656200" w:rsidRDefault="00AC33E0" w:rsidP="00AC33E0">
      <w:pPr>
        <w:tabs>
          <w:tab w:val="left" w:pos="567"/>
          <w:tab w:val="left" w:pos="1134"/>
        </w:tabs>
        <w:spacing w:after="0"/>
        <w:rPr>
          <w:rFonts w:cs="Arial"/>
          <w:highlight w:val="yellow"/>
        </w:rPr>
      </w:pPr>
    </w:p>
    <w:p w14:paraId="09530B49" w14:textId="53BCF205" w:rsidR="00AC33E0" w:rsidRPr="00846C6D" w:rsidRDefault="00AC33E0" w:rsidP="00AC33E0">
      <w:pPr>
        <w:tabs>
          <w:tab w:val="left" w:pos="567"/>
          <w:tab w:val="left" w:pos="1134"/>
        </w:tabs>
        <w:spacing w:after="0"/>
        <w:rPr>
          <w:rFonts w:cs="Arial"/>
        </w:rPr>
      </w:pPr>
      <w:r w:rsidRPr="00846C6D">
        <w:rPr>
          <w:rFonts w:cs="Arial"/>
        </w:rPr>
        <w:t xml:space="preserve">The key assumptions that </w:t>
      </w:r>
      <w:r w:rsidR="00800589" w:rsidRPr="00846C6D">
        <w:rPr>
          <w:rFonts w:cs="Arial"/>
        </w:rPr>
        <w:t>ha</w:t>
      </w:r>
      <w:r w:rsidR="00800589">
        <w:rPr>
          <w:rFonts w:cs="Arial"/>
        </w:rPr>
        <w:t>ve</w:t>
      </w:r>
      <w:r w:rsidR="00800589" w:rsidRPr="00846C6D">
        <w:rPr>
          <w:rFonts w:cs="Arial"/>
        </w:rPr>
        <w:t xml:space="preserve"> </w:t>
      </w:r>
      <w:r w:rsidRPr="00846C6D">
        <w:rPr>
          <w:rFonts w:cs="Arial"/>
        </w:rPr>
        <w:t xml:space="preserve">been analysed and tested relate to maintaining the additional social care funding announced by the Chancellor over the full period of the MTFS and also the impact of changes to baseline funding (particularly the inclusion of revenue support grant in 2020/21). We have also tested the impact of possible flexibilities in council tax. </w:t>
      </w:r>
    </w:p>
    <w:p w14:paraId="51E4B01B" w14:textId="77777777" w:rsidR="00AC33E0" w:rsidRPr="00656200" w:rsidRDefault="00AC33E0" w:rsidP="00AC33E0">
      <w:pPr>
        <w:tabs>
          <w:tab w:val="left" w:pos="567"/>
          <w:tab w:val="left" w:pos="1134"/>
        </w:tabs>
        <w:spacing w:after="0"/>
        <w:rPr>
          <w:rFonts w:cs="Arial"/>
          <w:highlight w:val="yellow"/>
        </w:rPr>
      </w:pPr>
    </w:p>
    <w:p w14:paraId="4D44EBAD" w14:textId="769AB427" w:rsidR="00AC33E0" w:rsidRPr="00846C6D" w:rsidRDefault="00AC33E0" w:rsidP="00AC33E0">
      <w:pPr>
        <w:tabs>
          <w:tab w:val="left" w:pos="567"/>
          <w:tab w:val="left" w:pos="1134"/>
        </w:tabs>
        <w:spacing w:after="0"/>
        <w:rPr>
          <w:rFonts w:cs="Arial"/>
        </w:rPr>
      </w:pPr>
      <w:r w:rsidRPr="00846C6D">
        <w:rPr>
          <w:rFonts w:cs="Arial"/>
        </w:rPr>
        <w:t xml:space="preserve">Alternative scenarios reflect the impact of </w:t>
      </w:r>
      <w:r w:rsidR="00ED493B">
        <w:rPr>
          <w:rFonts w:cs="Arial"/>
        </w:rPr>
        <w:t>changes to these key assumptions compared to the MTFS as presented</w:t>
      </w:r>
      <w:r w:rsidRPr="00846C6D">
        <w:rPr>
          <w:rFonts w:cs="Arial"/>
        </w:rPr>
        <w:t xml:space="preserve">; </w:t>
      </w:r>
    </w:p>
    <w:p w14:paraId="68122CF4" w14:textId="77777777" w:rsidR="00AC33E0" w:rsidRPr="00846C6D" w:rsidRDefault="00AC33E0" w:rsidP="00AC33E0">
      <w:pPr>
        <w:pStyle w:val="ListParagraph"/>
        <w:numPr>
          <w:ilvl w:val="0"/>
          <w:numId w:val="42"/>
        </w:numPr>
        <w:tabs>
          <w:tab w:val="left" w:pos="567"/>
          <w:tab w:val="left" w:pos="1134"/>
        </w:tabs>
        <w:spacing w:after="0"/>
        <w:rPr>
          <w:rFonts w:cs="Arial"/>
        </w:rPr>
      </w:pPr>
      <w:r w:rsidRPr="00846C6D">
        <w:rPr>
          <w:rFonts w:cs="Arial"/>
        </w:rPr>
        <w:t>option "a" shows the best case scenario assuming that all adult social care funding remains and revenue support grant continues wit</w:t>
      </w:r>
      <w:r>
        <w:rPr>
          <w:rFonts w:cs="Arial"/>
        </w:rPr>
        <w:t xml:space="preserve">hin the baseline over the </w:t>
      </w:r>
      <w:r w:rsidRPr="00846C6D">
        <w:rPr>
          <w:rFonts w:cs="Arial"/>
        </w:rPr>
        <w:t xml:space="preserve">next 3 years. </w:t>
      </w:r>
    </w:p>
    <w:p w14:paraId="1C537611" w14:textId="77777777" w:rsidR="00AC33E0" w:rsidRPr="00846C6D" w:rsidRDefault="00AC33E0" w:rsidP="00AC33E0">
      <w:pPr>
        <w:pStyle w:val="ListParagraph"/>
        <w:numPr>
          <w:ilvl w:val="0"/>
          <w:numId w:val="42"/>
        </w:numPr>
        <w:tabs>
          <w:tab w:val="left" w:pos="567"/>
          <w:tab w:val="left" w:pos="1134"/>
        </w:tabs>
        <w:spacing w:after="0"/>
        <w:rPr>
          <w:rFonts w:cs="Arial"/>
        </w:rPr>
      </w:pPr>
      <w:r w:rsidRPr="00846C6D">
        <w:rPr>
          <w:rFonts w:cs="Arial"/>
        </w:rPr>
        <w:t xml:space="preserve">option "b" shows the position if the winter pressures and social care grant funding was removed from 2020/21 but </w:t>
      </w:r>
      <w:r>
        <w:rPr>
          <w:rFonts w:cs="Arial"/>
        </w:rPr>
        <w:t xml:space="preserve">with </w:t>
      </w:r>
      <w:r w:rsidRPr="00846C6D">
        <w:rPr>
          <w:rFonts w:cs="Arial"/>
        </w:rPr>
        <w:t>revenue support grant continu</w:t>
      </w:r>
      <w:r>
        <w:rPr>
          <w:rFonts w:cs="Arial"/>
        </w:rPr>
        <w:t>ing</w:t>
      </w:r>
      <w:r w:rsidRPr="00846C6D">
        <w:rPr>
          <w:rFonts w:cs="Arial"/>
        </w:rPr>
        <w:t xml:space="preserve"> </w:t>
      </w:r>
      <w:r>
        <w:rPr>
          <w:rFonts w:cs="Arial"/>
        </w:rPr>
        <w:t xml:space="preserve">as part of basline funding </w:t>
      </w:r>
      <w:r w:rsidRPr="00846C6D">
        <w:rPr>
          <w:rFonts w:cs="Arial"/>
        </w:rPr>
        <w:t xml:space="preserve">over the next 3 years. </w:t>
      </w:r>
    </w:p>
    <w:p w14:paraId="48E53375" w14:textId="77777777" w:rsidR="00AC33E0" w:rsidRPr="00846C6D" w:rsidRDefault="00AC33E0" w:rsidP="00AC33E0">
      <w:pPr>
        <w:pStyle w:val="ListParagraph"/>
        <w:numPr>
          <w:ilvl w:val="0"/>
          <w:numId w:val="42"/>
        </w:numPr>
        <w:tabs>
          <w:tab w:val="left" w:pos="567"/>
          <w:tab w:val="left" w:pos="1134"/>
        </w:tabs>
        <w:spacing w:after="0"/>
        <w:rPr>
          <w:rFonts w:cs="Arial"/>
        </w:rPr>
      </w:pPr>
      <w:r w:rsidRPr="00846C6D">
        <w:rPr>
          <w:rFonts w:cs="Arial"/>
        </w:rPr>
        <w:t xml:space="preserve">option "c" shows the position if the winter pressures and social care grant funding was removed from 2020/21 and the revenue support grant is not included as part of the baseline from 2021/22. </w:t>
      </w:r>
    </w:p>
    <w:p w14:paraId="1BF3DBB5" w14:textId="77777777" w:rsidR="00AC33E0" w:rsidRDefault="00AC33E0" w:rsidP="00AC33E0">
      <w:pPr>
        <w:pStyle w:val="ListParagraph"/>
        <w:numPr>
          <w:ilvl w:val="0"/>
          <w:numId w:val="42"/>
        </w:numPr>
        <w:tabs>
          <w:tab w:val="left" w:pos="567"/>
          <w:tab w:val="left" w:pos="1134"/>
        </w:tabs>
        <w:spacing w:after="0"/>
        <w:rPr>
          <w:rFonts w:cs="Arial"/>
        </w:rPr>
      </w:pPr>
      <w:r w:rsidRPr="00846C6D">
        <w:rPr>
          <w:rFonts w:cs="Arial"/>
        </w:rPr>
        <w:t xml:space="preserve">option "d" presents the one of the worst case scenarios with revenue support grant removed from 2020/21 and no social care grant funding or winter pressures funding. </w:t>
      </w:r>
    </w:p>
    <w:p w14:paraId="75407E2D" w14:textId="77777777" w:rsidR="00AC33E0" w:rsidRDefault="00AC33E0" w:rsidP="00AC33E0">
      <w:pPr>
        <w:tabs>
          <w:tab w:val="left" w:pos="567"/>
          <w:tab w:val="left" w:pos="1134"/>
        </w:tabs>
        <w:spacing w:after="0"/>
        <w:rPr>
          <w:rFonts w:cs="Arial"/>
        </w:rPr>
      </w:pPr>
    </w:p>
    <w:p w14:paraId="463572DE" w14:textId="77777777" w:rsidR="00AC33E0" w:rsidRPr="00846C6D" w:rsidRDefault="00AC33E0" w:rsidP="00AC33E0">
      <w:pPr>
        <w:tabs>
          <w:tab w:val="left" w:pos="567"/>
          <w:tab w:val="left" w:pos="1134"/>
        </w:tabs>
        <w:spacing w:after="0"/>
        <w:rPr>
          <w:rFonts w:cs="Arial"/>
          <w:b/>
          <w:i/>
          <w:u w:val="single"/>
        </w:rPr>
      </w:pPr>
      <w:r w:rsidRPr="00846C6D">
        <w:rPr>
          <w:rFonts w:cs="Arial"/>
          <w:b/>
          <w:i/>
          <w:u w:val="single"/>
        </w:rPr>
        <w:t>Option A</w:t>
      </w:r>
    </w:p>
    <w:p w14:paraId="0B84857E" w14:textId="77777777" w:rsidR="00AC33E0" w:rsidRDefault="00AC33E0" w:rsidP="00AC33E0">
      <w:pPr>
        <w:tabs>
          <w:tab w:val="left" w:pos="567"/>
          <w:tab w:val="left" w:pos="1134"/>
        </w:tabs>
        <w:spacing w:after="0"/>
        <w:rPr>
          <w:rFonts w:cs="Arial"/>
        </w:rPr>
      </w:pPr>
    </w:p>
    <w:tbl>
      <w:tblPr>
        <w:tblW w:w="9214" w:type="dxa"/>
        <w:tblInd w:w="-10" w:type="dxa"/>
        <w:tblLook w:val="04A0" w:firstRow="1" w:lastRow="0" w:firstColumn="1" w:lastColumn="0" w:noHBand="0" w:noVBand="1"/>
      </w:tblPr>
      <w:tblGrid>
        <w:gridCol w:w="10"/>
        <w:gridCol w:w="5377"/>
        <w:gridCol w:w="1275"/>
        <w:gridCol w:w="1276"/>
        <w:gridCol w:w="1276"/>
      </w:tblGrid>
      <w:tr w:rsidR="0093099B" w14:paraId="7B8C125B" w14:textId="77777777" w:rsidTr="004177E4">
        <w:trPr>
          <w:gridBefore w:val="1"/>
          <w:wBefore w:w="10" w:type="dxa"/>
          <w:trHeight w:val="480"/>
        </w:trPr>
        <w:tc>
          <w:tcPr>
            <w:tcW w:w="53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601FA41"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Aggregated Funding Gap</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44EA7464"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71800601"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577340DC"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7A685230" w14:textId="77777777" w:rsidTr="004177E4">
        <w:trPr>
          <w:gridBefore w:val="1"/>
          <w:wBefore w:w="10" w:type="dxa"/>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7A9367A"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2020/21 (£m)</w:t>
            </w:r>
          </w:p>
        </w:tc>
        <w:tc>
          <w:tcPr>
            <w:tcW w:w="1275" w:type="dxa"/>
            <w:tcBorders>
              <w:top w:val="nil"/>
              <w:left w:val="nil"/>
              <w:bottom w:val="single" w:sz="8" w:space="0" w:color="auto"/>
              <w:right w:val="single" w:sz="8" w:space="0" w:color="auto"/>
            </w:tcBorders>
            <w:shd w:val="clear" w:color="auto" w:fill="auto"/>
            <w:vAlign w:val="center"/>
            <w:hideMark/>
          </w:tcPr>
          <w:p w14:paraId="419BC541"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5.895</w:t>
            </w:r>
          </w:p>
        </w:tc>
        <w:tc>
          <w:tcPr>
            <w:tcW w:w="1276" w:type="dxa"/>
            <w:tcBorders>
              <w:top w:val="nil"/>
              <w:left w:val="nil"/>
              <w:bottom w:val="single" w:sz="8" w:space="0" w:color="auto"/>
              <w:right w:val="single" w:sz="8" w:space="0" w:color="auto"/>
            </w:tcBorders>
            <w:shd w:val="clear" w:color="auto" w:fill="auto"/>
            <w:vAlign w:val="center"/>
            <w:hideMark/>
          </w:tcPr>
          <w:p w14:paraId="0FEB2DC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5.895</w:t>
            </w:r>
          </w:p>
        </w:tc>
        <w:tc>
          <w:tcPr>
            <w:tcW w:w="1276" w:type="dxa"/>
            <w:tcBorders>
              <w:top w:val="nil"/>
              <w:left w:val="nil"/>
              <w:bottom w:val="single" w:sz="8" w:space="0" w:color="auto"/>
              <w:right w:val="single" w:sz="8" w:space="0" w:color="auto"/>
            </w:tcBorders>
            <w:shd w:val="clear" w:color="auto" w:fill="auto"/>
            <w:vAlign w:val="center"/>
            <w:hideMark/>
          </w:tcPr>
          <w:p w14:paraId="4C47D2A1"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5.895</w:t>
            </w:r>
          </w:p>
        </w:tc>
      </w:tr>
      <w:tr w:rsidR="0093099B" w14:paraId="5C5B90AA" w14:textId="77777777" w:rsidTr="004177E4">
        <w:trPr>
          <w:gridBefore w:val="1"/>
          <w:wBefore w:w="10" w:type="dxa"/>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F25E444"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2021/22 (£m)</w:t>
            </w:r>
          </w:p>
        </w:tc>
        <w:tc>
          <w:tcPr>
            <w:tcW w:w="1275" w:type="dxa"/>
            <w:tcBorders>
              <w:top w:val="nil"/>
              <w:left w:val="nil"/>
              <w:bottom w:val="single" w:sz="8" w:space="0" w:color="auto"/>
              <w:right w:val="single" w:sz="8" w:space="0" w:color="auto"/>
            </w:tcBorders>
            <w:shd w:val="clear" w:color="auto" w:fill="auto"/>
            <w:vAlign w:val="center"/>
            <w:hideMark/>
          </w:tcPr>
          <w:p w14:paraId="3BB2BCA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52FD069F"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6.140</w:t>
            </w:r>
          </w:p>
        </w:tc>
        <w:tc>
          <w:tcPr>
            <w:tcW w:w="1276" w:type="dxa"/>
            <w:tcBorders>
              <w:top w:val="nil"/>
              <w:left w:val="nil"/>
              <w:bottom w:val="single" w:sz="8" w:space="0" w:color="auto"/>
              <w:right w:val="single" w:sz="8" w:space="0" w:color="auto"/>
            </w:tcBorders>
            <w:shd w:val="clear" w:color="auto" w:fill="auto"/>
            <w:vAlign w:val="center"/>
            <w:hideMark/>
          </w:tcPr>
          <w:p w14:paraId="4FF3F06E"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6.140</w:t>
            </w:r>
          </w:p>
        </w:tc>
      </w:tr>
      <w:tr w:rsidR="0093099B" w14:paraId="149B453A" w14:textId="77777777" w:rsidTr="004177E4">
        <w:trPr>
          <w:gridBefore w:val="1"/>
          <w:wBefore w:w="10" w:type="dxa"/>
          <w:trHeight w:val="43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FC9A865"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2022/23 (£m)</w:t>
            </w:r>
          </w:p>
        </w:tc>
        <w:tc>
          <w:tcPr>
            <w:tcW w:w="1275" w:type="dxa"/>
            <w:tcBorders>
              <w:top w:val="nil"/>
              <w:left w:val="nil"/>
              <w:bottom w:val="single" w:sz="8" w:space="0" w:color="auto"/>
              <w:right w:val="single" w:sz="8" w:space="0" w:color="auto"/>
            </w:tcBorders>
            <w:shd w:val="clear" w:color="auto" w:fill="auto"/>
            <w:vAlign w:val="center"/>
            <w:hideMark/>
          </w:tcPr>
          <w:p w14:paraId="364DEDF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66AF6E01"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731C029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19.168</w:t>
            </w:r>
          </w:p>
        </w:tc>
      </w:tr>
      <w:tr w:rsidR="0093099B" w14:paraId="559FE40C" w14:textId="77777777" w:rsidTr="004177E4">
        <w:trPr>
          <w:gridBefore w:val="1"/>
          <w:wBefore w:w="10" w:type="dxa"/>
          <w:trHeight w:val="40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3BB7FBD"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2023/24 (£m)</w:t>
            </w:r>
          </w:p>
        </w:tc>
        <w:tc>
          <w:tcPr>
            <w:tcW w:w="1275" w:type="dxa"/>
            <w:tcBorders>
              <w:top w:val="nil"/>
              <w:left w:val="nil"/>
              <w:bottom w:val="single" w:sz="8" w:space="0" w:color="auto"/>
              <w:right w:val="single" w:sz="8" w:space="0" w:color="auto"/>
            </w:tcBorders>
            <w:shd w:val="clear" w:color="auto" w:fill="auto"/>
            <w:vAlign w:val="center"/>
            <w:hideMark/>
          </w:tcPr>
          <w:p w14:paraId="6B203BF1"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4EA874E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2F9A82F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34DC1A18" w14:textId="77777777" w:rsidTr="004177E4">
        <w:trPr>
          <w:gridBefore w:val="1"/>
          <w:wBefore w:w="10" w:type="dxa"/>
          <w:trHeight w:val="33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71FC8CC7"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xml:space="preserve">Total </w:t>
            </w:r>
          </w:p>
        </w:tc>
        <w:tc>
          <w:tcPr>
            <w:tcW w:w="1275" w:type="dxa"/>
            <w:tcBorders>
              <w:top w:val="nil"/>
              <w:left w:val="nil"/>
              <w:bottom w:val="single" w:sz="8" w:space="0" w:color="auto"/>
              <w:right w:val="single" w:sz="8" w:space="0" w:color="auto"/>
            </w:tcBorders>
            <w:shd w:val="clear" w:color="000000" w:fill="BFBFBF"/>
            <w:vAlign w:val="center"/>
            <w:hideMark/>
          </w:tcPr>
          <w:p w14:paraId="00B1A821"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5.895</w:t>
            </w:r>
          </w:p>
        </w:tc>
        <w:tc>
          <w:tcPr>
            <w:tcW w:w="1276" w:type="dxa"/>
            <w:tcBorders>
              <w:top w:val="nil"/>
              <w:left w:val="nil"/>
              <w:bottom w:val="single" w:sz="8" w:space="0" w:color="auto"/>
              <w:right w:val="single" w:sz="8" w:space="0" w:color="auto"/>
            </w:tcBorders>
            <w:shd w:val="clear" w:color="000000" w:fill="BFBFBF"/>
            <w:vAlign w:val="center"/>
            <w:hideMark/>
          </w:tcPr>
          <w:p w14:paraId="3A8BBAF4"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12.034</w:t>
            </w:r>
          </w:p>
        </w:tc>
        <w:tc>
          <w:tcPr>
            <w:tcW w:w="1276" w:type="dxa"/>
            <w:tcBorders>
              <w:top w:val="nil"/>
              <w:left w:val="nil"/>
              <w:bottom w:val="single" w:sz="8" w:space="0" w:color="auto"/>
              <w:right w:val="single" w:sz="8" w:space="0" w:color="auto"/>
            </w:tcBorders>
            <w:shd w:val="clear" w:color="000000" w:fill="BFBFBF"/>
            <w:vAlign w:val="center"/>
            <w:hideMark/>
          </w:tcPr>
          <w:p w14:paraId="1D8FE8A1"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31.203</w:t>
            </w:r>
          </w:p>
        </w:tc>
      </w:tr>
      <w:tr w:rsidR="0093099B" w14:paraId="1890B404" w14:textId="77777777" w:rsidTr="004177E4">
        <w:trPr>
          <w:gridBefore w:val="1"/>
          <w:wBefore w:w="10" w:type="dxa"/>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AE1C7A2"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42B4858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2273EA5B"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53F27C2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548CFF4A" w14:textId="77777777" w:rsidTr="004177E4">
        <w:trPr>
          <w:gridBefore w:val="1"/>
          <w:wBefore w:w="10" w:type="dxa"/>
          <w:trHeight w:val="37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256AF82"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Previous position (£m)</w:t>
            </w:r>
          </w:p>
        </w:tc>
        <w:tc>
          <w:tcPr>
            <w:tcW w:w="1275" w:type="dxa"/>
            <w:tcBorders>
              <w:top w:val="nil"/>
              <w:left w:val="nil"/>
              <w:bottom w:val="single" w:sz="8" w:space="0" w:color="auto"/>
              <w:right w:val="single" w:sz="8" w:space="0" w:color="auto"/>
            </w:tcBorders>
            <w:shd w:val="clear" w:color="auto" w:fill="auto"/>
            <w:vAlign w:val="center"/>
            <w:hideMark/>
          </w:tcPr>
          <w:p w14:paraId="5297CE9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30.370</w:t>
            </w:r>
          </w:p>
        </w:tc>
        <w:tc>
          <w:tcPr>
            <w:tcW w:w="1276" w:type="dxa"/>
            <w:tcBorders>
              <w:top w:val="nil"/>
              <w:left w:val="nil"/>
              <w:bottom w:val="single" w:sz="8" w:space="0" w:color="auto"/>
              <w:right w:val="single" w:sz="8" w:space="0" w:color="auto"/>
            </w:tcBorders>
            <w:shd w:val="clear" w:color="auto" w:fill="auto"/>
            <w:vAlign w:val="center"/>
            <w:hideMark/>
          </w:tcPr>
          <w:p w14:paraId="24DD51D3"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35.888</w:t>
            </w:r>
          </w:p>
        </w:tc>
        <w:tc>
          <w:tcPr>
            <w:tcW w:w="1276" w:type="dxa"/>
            <w:tcBorders>
              <w:top w:val="nil"/>
              <w:left w:val="nil"/>
              <w:bottom w:val="single" w:sz="8" w:space="0" w:color="auto"/>
              <w:right w:val="single" w:sz="8" w:space="0" w:color="auto"/>
            </w:tcBorders>
            <w:shd w:val="clear" w:color="auto" w:fill="auto"/>
            <w:vAlign w:val="center"/>
            <w:hideMark/>
          </w:tcPr>
          <w:p w14:paraId="5998C36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47.326</w:t>
            </w:r>
          </w:p>
        </w:tc>
      </w:tr>
      <w:tr w:rsidR="0093099B" w14:paraId="06CC4B47" w14:textId="77777777" w:rsidTr="004177E4">
        <w:trPr>
          <w:gridBefore w:val="1"/>
          <w:wBefore w:w="10" w:type="dxa"/>
          <w:trHeight w:val="36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402A8E8D"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Variance (£m)</w:t>
            </w:r>
          </w:p>
        </w:tc>
        <w:tc>
          <w:tcPr>
            <w:tcW w:w="1275" w:type="dxa"/>
            <w:tcBorders>
              <w:top w:val="nil"/>
              <w:left w:val="nil"/>
              <w:bottom w:val="single" w:sz="8" w:space="0" w:color="auto"/>
              <w:right w:val="single" w:sz="8" w:space="0" w:color="auto"/>
            </w:tcBorders>
            <w:shd w:val="clear" w:color="000000" w:fill="BFBFBF"/>
            <w:vAlign w:val="center"/>
            <w:hideMark/>
          </w:tcPr>
          <w:p w14:paraId="3BAB9ACE"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-24.475</w:t>
            </w:r>
          </w:p>
        </w:tc>
        <w:tc>
          <w:tcPr>
            <w:tcW w:w="1276" w:type="dxa"/>
            <w:tcBorders>
              <w:top w:val="nil"/>
              <w:left w:val="nil"/>
              <w:bottom w:val="single" w:sz="8" w:space="0" w:color="auto"/>
              <w:right w:val="single" w:sz="8" w:space="0" w:color="auto"/>
            </w:tcBorders>
            <w:shd w:val="clear" w:color="000000" w:fill="BFBFBF"/>
            <w:vAlign w:val="center"/>
            <w:hideMark/>
          </w:tcPr>
          <w:p w14:paraId="415E93AC"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-23.854</w:t>
            </w:r>
          </w:p>
        </w:tc>
        <w:tc>
          <w:tcPr>
            <w:tcW w:w="1276" w:type="dxa"/>
            <w:tcBorders>
              <w:top w:val="nil"/>
              <w:left w:val="nil"/>
              <w:bottom w:val="single" w:sz="8" w:space="0" w:color="auto"/>
              <w:right w:val="single" w:sz="8" w:space="0" w:color="auto"/>
            </w:tcBorders>
            <w:shd w:val="clear" w:color="000000" w:fill="BFBFBF"/>
            <w:vAlign w:val="center"/>
            <w:hideMark/>
          </w:tcPr>
          <w:p w14:paraId="64540838"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-16.123</w:t>
            </w:r>
          </w:p>
        </w:tc>
      </w:tr>
      <w:tr w:rsidR="0093099B" w14:paraId="7C53964B" w14:textId="77777777" w:rsidTr="004177E4">
        <w:trPr>
          <w:trHeight w:val="375"/>
        </w:trPr>
        <w:tc>
          <w:tcPr>
            <w:tcW w:w="5387" w:type="dxa"/>
            <w:gridSpan w:val="2"/>
            <w:tcBorders>
              <w:top w:val="nil"/>
              <w:left w:val="nil"/>
              <w:bottom w:val="nil"/>
              <w:right w:val="nil"/>
            </w:tcBorders>
            <w:shd w:val="clear" w:color="auto" w:fill="auto"/>
            <w:noWrap/>
            <w:vAlign w:val="bottom"/>
            <w:hideMark/>
          </w:tcPr>
          <w:p w14:paraId="0686FAA9" w14:textId="50EB4531" w:rsidR="004177E4" w:rsidRPr="00846C6D" w:rsidRDefault="004177E4" w:rsidP="00AC33E0">
            <w:pPr>
              <w:autoSpaceDE/>
              <w:autoSpaceDN/>
              <w:adjustRightInd/>
              <w:spacing w:after="0"/>
              <w:jc w:val="left"/>
              <w:rPr>
                <w:rFonts w:eastAsia="Times New Roman" w:cs="Arial"/>
                <w:b/>
                <w:bCs/>
                <w:sz w:val="28"/>
                <w:szCs w:val="28"/>
                <w:u w:val="single"/>
                <w:lang w:eastAsia="en-GB"/>
              </w:rPr>
            </w:pPr>
          </w:p>
        </w:tc>
        <w:tc>
          <w:tcPr>
            <w:tcW w:w="1275" w:type="dxa"/>
            <w:tcBorders>
              <w:top w:val="nil"/>
              <w:left w:val="nil"/>
              <w:bottom w:val="nil"/>
              <w:right w:val="nil"/>
            </w:tcBorders>
            <w:shd w:val="clear" w:color="auto" w:fill="auto"/>
            <w:noWrap/>
            <w:vAlign w:val="bottom"/>
            <w:hideMark/>
          </w:tcPr>
          <w:p w14:paraId="034AC6E4" w14:textId="77777777" w:rsidR="00AC33E0" w:rsidRPr="00846C6D" w:rsidRDefault="00AC33E0" w:rsidP="00AC33E0">
            <w:pPr>
              <w:autoSpaceDE/>
              <w:autoSpaceDN/>
              <w:adjustRightInd/>
              <w:spacing w:after="0"/>
              <w:jc w:val="left"/>
              <w:rPr>
                <w:rFonts w:eastAsia="Times New Roman" w:cs="Arial"/>
                <w:b/>
                <w:bCs/>
                <w:sz w:val="28"/>
                <w:szCs w:val="28"/>
                <w:u w:val="single"/>
                <w:lang w:eastAsia="en-GB"/>
              </w:rPr>
            </w:pPr>
          </w:p>
        </w:tc>
        <w:tc>
          <w:tcPr>
            <w:tcW w:w="1276" w:type="dxa"/>
            <w:tcBorders>
              <w:top w:val="nil"/>
              <w:left w:val="nil"/>
              <w:bottom w:val="nil"/>
              <w:right w:val="nil"/>
            </w:tcBorders>
            <w:shd w:val="clear" w:color="auto" w:fill="auto"/>
            <w:noWrap/>
            <w:vAlign w:val="bottom"/>
            <w:hideMark/>
          </w:tcPr>
          <w:p w14:paraId="66BCD3B8" w14:textId="77777777" w:rsidR="00AC33E0" w:rsidRPr="00846C6D" w:rsidRDefault="00AC33E0" w:rsidP="00AC33E0">
            <w:pPr>
              <w:autoSpaceDE/>
              <w:autoSpaceDN/>
              <w:adjustRightInd/>
              <w:spacing w:after="0"/>
              <w:jc w:val="left"/>
              <w:rPr>
                <w:rFonts w:ascii="Times New Roman" w:eastAsia="Times New Roman" w:hAnsi="Times New Roman" w:cs="Times New Roman"/>
                <w:color w:val="auto"/>
                <w:sz w:val="20"/>
                <w:szCs w:val="20"/>
                <w:lang w:eastAsia="en-GB"/>
              </w:rPr>
            </w:pPr>
          </w:p>
        </w:tc>
        <w:tc>
          <w:tcPr>
            <w:tcW w:w="1276" w:type="dxa"/>
            <w:tcBorders>
              <w:top w:val="nil"/>
              <w:left w:val="nil"/>
              <w:bottom w:val="nil"/>
              <w:right w:val="nil"/>
            </w:tcBorders>
            <w:shd w:val="clear" w:color="auto" w:fill="auto"/>
            <w:noWrap/>
            <w:vAlign w:val="bottom"/>
            <w:hideMark/>
          </w:tcPr>
          <w:p w14:paraId="75133134" w14:textId="77777777" w:rsidR="00AC33E0" w:rsidRPr="00846C6D" w:rsidRDefault="00AC33E0" w:rsidP="00AC33E0">
            <w:pPr>
              <w:autoSpaceDE/>
              <w:autoSpaceDN/>
              <w:adjustRightInd/>
              <w:spacing w:after="0"/>
              <w:jc w:val="left"/>
              <w:rPr>
                <w:rFonts w:ascii="Times New Roman" w:eastAsia="Times New Roman" w:hAnsi="Times New Roman" w:cs="Times New Roman"/>
                <w:color w:val="auto"/>
                <w:sz w:val="20"/>
                <w:szCs w:val="20"/>
                <w:lang w:eastAsia="en-GB"/>
              </w:rPr>
            </w:pPr>
          </w:p>
        </w:tc>
      </w:tr>
      <w:tr w:rsidR="0093099B" w14:paraId="1318450B" w14:textId="77777777" w:rsidTr="004177E4">
        <w:trPr>
          <w:trHeight w:val="330"/>
        </w:trPr>
        <w:tc>
          <w:tcPr>
            <w:tcW w:w="5387"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2DB9A592" w14:textId="508A1303" w:rsidR="00AC33E0" w:rsidRPr="00846C6D" w:rsidRDefault="00AC33E0" w:rsidP="00AC33E0">
            <w:pPr>
              <w:autoSpaceDE/>
              <w:autoSpaceDN/>
              <w:adjustRightInd/>
              <w:spacing w:after="0"/>
              <w:jc w:val="left"/>
              <w:rPr>
                <w:rFonts w:eastAsia="Times New Roman" w:cs="Arial"/>
                <w:b/>
                <w:bCs/>
                <w:lang w:eastAsia="en-GB"/>
              </w:rPr>
            </w:pPr>
            <w:r>
              <w:rPr>
                <w:rFonts w:eastAsia="Times New Roman" w:cs="Arial"/>
                <w:b/>
                <w:bCs/>
                <w:lang w:eastAsia="en-GB"/>
              </w:rPr>
              <w:t>Transitional Reserve</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4611A24A"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2D8BB8F7"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6443AB87"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39F6AEC1" w14:textId="77777777" w:rsidTr="004177E4">
        <w:trPr>
          <w:trHeight w:val="615"/>
        </w:trPr>
        <w:tc>
          <w:tcPr>
            <w:tcW w:w="5387" w:type="dxa"/>
            <w:gridSpan w:val="2"/>
            <w:tcBorders>
              <w:top w:val="nil"/>
              <w:left w:val="single" w:sz="8" w:space="0" w:color="auto"/>
              <w:bottom w:val="single" w:sz="8" w:space="0" w:color="auto"/>
              <w:right w:val="single" w:sz="8" w:space="0" w:color="auto"/>
            </w:tcBorders>
            <w:shd w:val="clear" w:color="auto" w:fill="auto"/>
            <w:vAlign w:val="center"/>
            <w:hideMark/>
          </w:tcPr>
          <w:p w14:paraId="251D7929"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Opening Balance</w:t>
            </w:r>
          </w:p>
        </w:tc>
        <w:tc>
          <w:tcPr>
            <w:tcW w:w="1275" w:type="dxa"/>
            <w:tcBorders>
              <w:top w:val="nil"/>
              <w:left w:val="nil"/>
              <w:bottom w:val="single" w:sz="8" w:space="0" w:color="auto"/>
              <w:right w:val="single" w:sz="8" w:space="0" w:color="auto"/>
            </w:tcBorders>
            <w:shd w:val="clear" w:color="auto" w:fill="auto"/>
            <w:vAlign w:val="center"/>
            <w:hideMark/>
          </w:tcPr>
          <w:p w14:paraId="76BDDC4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150.393</w:t>
            </w:r>
          </w:p>
        </w:tc>
        <w:tc>
          <w:tcPr>
            <w:tcW w:w="1276" w:type="dxa"/>
            <w:tcBorders>
              <w:top w:val="nil"/>
              <w:left w:val="nil"/>
              <w:bottom w:val="single" w:sz="8" w:space="0" w:color="auto"/>
              <w:right w:val="single" w:sz="8" w:space="0" w:color="auto"/>
            </w:tcBorders>
            <w:shd w:val="clear" w:color="auto" w:fill="auto"/>
            <w:vAlign w:val="center"/>
            <w:hideMark/>
          </w:tcPr>
          <w:p w14:paraId="6CB88D7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142.039</w:t>
            </w:r>
          </w:p>
        </w:tc>
        <w:tc>
          <w:tcPr>
            <w:tcW w:w="1276" w:type="dxa"/>
            <w:tcBorders>
              <w:top w:val="nil"/>
              <w:left w:val="nil"/>
              <w:bottom w:val="single" w:sz="8" w:space="0" w:color="auto"/>
              <w:right w:val="single" w:sz="8" w:space="0" w:color="auto"/>
            </w:tcBorders>
            <w:shd w:val="clear" w:color="auto" w:fill="auto"/>
            <w:vAlign w:val="center"/>
            <w:hideMark/>
          </w:tcPr>
          <w:p w14:paraId="7F173FC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129.701</w:t>
            </w:r>
          </w:p>
        </w:tc>
      </w:tr>
      <w:tr w:rsidR="0093099B" w14:paraId="620A915E" w14:textId="77777777" w:rsidTr="004177E4">
        <w:trPr>
          <w:trHeight w:val="330"/>
        </w:trPr>
        <w:tc>
          <w:tcPr>
            <w:tcW w:w="5387" w:type="dxa"/>
            <w:gridSpan w:val="2"/>
            <w:tcBorders>
              <w:top w:val="nil"/>
              <w:left w:val="single" w:sz="8" w:space="0" w:color="auto"/>
              <w:bottom w:val="single" w:sz="8" w:space="0" w:color="auto"/>
              <w:right w:val="single" w:sz="8" w:space="0" w:color="auto"/>
            </w:tcBorders>
            <w:shd w:val="clear" w:color="auto" w:fill="auto"/>
            <w:vAlign w:val="center"/>
            <w:hideMark/>
          </w:tcPr>
          <w:p w14:paraId="479AE686"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Gap funding</w:t>
            </w:r>
          </w:p>
        </w:tc>
        <w:tc>
          <w:tcPr>
            <w:tcW w:w="1275" w:type="dxa"/>
            <w:tcBorders>
              <w:top w:val="nil"/>
              <w:left w:val="nil"/>
              <w:bottom w:val="single" w:sz="8" w:space="0" w:color="auto"/>
              <w:right w:val="single" w:sz="8" w:space="0" w:color="auto"/>
            </w:tcBorders>
            <w:shd w:val="clear" w:color="auto" w:fill="auto"/>
            <w:vAlign w:val="center"/>
            <w:hideMark/>
          </w:tcPr>
          <w:p w14:paraId="1C8A764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5.895</w:t>
            </w:r>
          </w:p>
        </w:tc>
        <w:tc>
          <w:tcPr>
            <w:tcW w:w="1276" w:type="dxa"/>
            <w:tcBorders>
              <w:top w:val="nil"/>
              <w:left w:val="nil"/>
              <w:bottom w:val="single" w:sz="8" w:space="0" w:color="auto"/>
              <w:right w:val="single" w:sz="8" w:space="0" w:color="auto"/>
            </w:tcBorders>
            <w:shd w:val="clear" w:color="auto" w:fill="auto"/>
            <w:vAlign w:val="center"/>
            <w:hideMark/>
          </w:tcPr>
          <w:p w14:paraId="06E936B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12.034</w:t>
            </w:r>
          </w:p>
        </w:tc>
        <w:tc>
          <w:tcPr>
            <w:tcW w:w="1276" w:type="dxa"/>
            <w:tcBorders>
              <w:top w:val="nil"/>
              <w:left w:val="nil"/>
              <w:bottom w:val="single" w:sz="8" w:space="0" w:color="auto"/>
              <w:right w:val="single" w:sz="8" w:space="0" w:color="auto"/>
            </w:tcBorders>
            <w:shd w:val="clear" w:color="auto" w:fill="auto"/>
            <w:vAlign w:val="center"/>
            <w:hideMark/>
          </w:tcPr>
          <w:p w14:paraId="3BE52D6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31.203</w:t>
            </w:r>
          </w:p>
        </w:tc>
      </w:tr>
      <w:tr w:rsidR="0093099B" w14:paraId="39578A97" w14:textId="77777777" w:rsidTr="004177E4">
        <w:trPr>
          <w:trHeight w:val="330"/>
        </w:trPr>
        <w:tc>
          <w:tcPr>
            <w:tcW w:w="5387" w:type="dxa"/>
            <w:gridSpan w:val="2"/>
            <w:tcBorders>
              <w:top w:val="nil"/>
              <w:left w:val="single" w:sz="8" w:space="0" w:color="auto"/>
              <w:bottom w:val="single" w:sz="8" w:space="0" w:color="auto"/>
              <w:right w:val="single" w:sz="8" w:space="0" w:color="auto"/>
            </w:tcBorders>
            <w:shd w:val="clear" w:color="auto" w:fill="auto"/>
            <w:vAlign w:val="center"/>
            <w:hideMark/>
          </w:tcPr>
          <w:p w14:paraId="4A77A6A7"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Commitments</w:t>
            </w:r>
          </w:p>
        </w:tc>
        <w:tc>
          <w:tcPr>
            <w:tcW w:w="1275" w:type="dxa"/>
            <w:tcBorders>
              <w:top w:val="nil"/>
              <w:left w:val="nil"/>
              <w:bottom w:val="single" w:sz="8" w:space="0" w:color="auto"/>
              <w:right w:val="single" w:sz="8" w:space="0" w:color="auto"/>
            </w:tcBorders>
            <w:shd w:val="clear" w:color="auto" w:fill="auto"/>
            <w:vAlign w:val="center"/>
            <w:hideMark/>
          </w:tcPr>
          <w:p w14:paraId="6B4136E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2.460</w:t>
            </w:r>
          </w:p>
        </w:tc>
        <w:tc>
          <w:tcPr>
            <w:tcW w:w="1276" w:type="dxa"/>
            <w:tcBorders>
              <w:top w:val="nil"/>
              <w:left w:val="nil"/>
              <w:bottom w:val="single" w:sz="8" w:space="0" w:color="auto"/>
              <w:right w:val="single" w:sz="8" w:space="0" w:color="auto"/>
            </w:tcBorders>
            <w:shd w:val="clear" w:color="auto" w:fill="auto"/>
            <w:vAlign w:val="center"/>
            <w:hideMark/>
          </w:tcPr>
          <w:p w14:paraId="3FE3F46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0.304</w:t>
            </w:r>
          </w:p>
        </w:tc>
        <w:tc>
          <w:tcPr>
            <w:tcW w:w="1276" w:type="dxa"/>
            <w:tcBorders>
              <w:top w:val="nil"/>
              <w:left w:val="nil"/>
              <w:bottom w:val="single" w:sz="8" w:space="0" w:color="auto"/>
              <w:right w:val="single" w:sz="8" w:space="0" w:color="auto"/>
            </w:tcBorders>
            <w:shd w:val="clear" w:color="auto" w:fill="auto"/>
            <w:vAlign w:val="center"/>
            <w:hideMark/>
          </w:tcPr>
          <w:p w14:paraId="27245ED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0.000</w:t>
            </w:r>
          </w:p>
        </w:tc>
      </w:tr>
      <w:tr w:rsidR="0093099B" w14:paraId="6946BDD8" w14:textId="77777777" w:rsidTr="004177E4">
        <w:trPr>
          <w:trHeight w:val="330"/>
        </w:trPr>
        <w:tc>
          <w:tcPr>
            <w:tcW w:w="5387" w:type="dxa"/>
            <w:gridSpan w:val="2"/>
            <w:tcBorders>
              <w:top w:val="nil"/>
              <w:left w:val="single" w:sz="8" w:space="0" w:color="auto"/>
              <w:bottom w:val="single" w:sz="8" w:space="0" w:color="auto"/>
              <w:right w:val="single" w:sz="8" w:space="0" w:color="auto"/>
            </w:tcBorders>
            <w:shd w:val="clear" w:color="000000" w:fill="BFBFBF"/>
            <w:vAlign w:val="center"/>
            <w:hideMark/>
          </w:tcPr>
          <w:p w14:paraId="6E6CA1F0"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Closing balance</w:t>
            </w:r>
          </w:p>
        </w:tc>
        <w:tc>
          <w:tcPr>
            <w:tcW w:w="1275" w:type="dxa"/>
            <w:tcBorders>
              <w:top w:val="nil"/>
              <w:left w:val="nil"/>
              <w:bottom w:val="single" w:sz="8" w:space="0" w:color="auto"/>
              <w:right w:val="single" w:sz="8" w:space="0" w:color="auto"/>
            </w:tcBorders>
            <w:shd w:val="clear" w:color="000000" w:fill="BFBFBF"/>
            <w:vAlign w:val="center"/>
            <w:hideMark/>
          </w:tcPr>
          <w:p w14:paraId="588D6148"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142.039</w:t>
            </w:r>
          </w:p>
        </w:tc>
        <w:tc>
          <w:tcPr>
            <w:tcW w:w="1276" w:type="dxa"/>
            <w:tcBorders>
              <w:top w:val="nil"/>
              <w:left w:val="nil"/>
              <w:bottom w:val="single" w:sz="8" w:space="0" w:color="auto"/>
              <w:right w:val="single" w:sz="8" w:space="0" w:color="auto"/>
            </w:tcBorders>
            <w:shd w:val="clear" w:color="000000" w:fill="BFBFBF"/>
            <w:vAlign w:val="center"/>
            <w:hideMark/>
          </w:tcPr>
          <w:p w14:paraId="42D9F2FA"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129.701</w:t>
            </w:r>
          </w:p>
        </w:tc>
        <w:tc>
          <w:tcPr>
            <w:tcW w:w="1276" w:type="dxa"/>
            <w:tcBorders>
              <w:top w:val="nil"/>
              <w:left w:val="nil"/>
              <w:bottom w:val="single" w:sz="8" w:space="0" w:color="auto"/>
              <w:right w:val="single" w:sz="8" w:space="0" w:color="auto"/>
            </w:tcBorders>
            <w:shd w:val="clear" w:color="000000" w:fill="BFBFBF"/>
            <w:vAlign w:val="center"/>
            <w:hideMark/>
          </w:tcPr>
          <w:p w14:paraId="3E4B4945"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98.498</w:t>
            </w:r>
          </w:p>
        </w:tc>
      </w:tr>
    </w:tbl>
    <w:p w14:paraId="7F5D4B48" w14:textId="5FC08A4C" w:rsidR="00AC33E0" w:rsidRPr="00846C6D" w:rsidRDefault="00AC33E0" w:rsidP="00AC33E0">
      <w:pPr>
        <w:tabs>
          <w:tab w:val="left" w:pos="567"/>
          <w:tab w:val="left" w:pos="1134"/>
        </w:tabs>
        <w:spacing w:after="0"/>
        <w:rPr>
          <w:rFonts w:cs="Arial"/>
          <w:b/>
          <w:i/>
          <w:u w:val="single"/>
        </w:rPr>
      </w:pPr>
      <w:r w:rsidRPr="00846C6D">
        <w:rPr>
          <w:rFonts w:cs="Arial"/>
          <w:b/>
          <w:i/>
          <w:u w:val="single"/>
        </w:rPr>
        <w:lastRenderedPageBreak/>
        <w:t>Option B</w:t>
      </w:r>
    </w:p>
    <w:p w14:paraId="391E11E7" w14:textId="77777777" w:rsidR="00AC33E0" w:rsidRDefault="00AC33E0" w:rsidP="00AC33E0">
      <w:pPr>
        <w:tabs>
          <w:tab w:val="left" w:pos="567"/>
          <w:tab w:val="left" w:pos="1134"/>
        </w:tabs>
        <w:spacing w:after="0"/>
        <w:rPr>
          <w:rFonts w:cs="Arial"/>
        </w:rPr>
      </w:pPr>
    </w:p>
    <w:tbl>
      <w:tblPr>
        <w:tblW w:w="9204" w:type="dxa"/>
        <w:tblLook w:val="04A0" w:firstRow="1" w:lastRow="0" w:firstColumn="1" w:lastColumn="0" w:noHBand="0" w:noVBand="1"/>
      </w:tblPr>
      <w:tblGrid>
        <w:gridCol w:w="5377"/>
        <w:gridCol w:w="1276"/>
        <w:gridCol w:w="1275"/>
        <w:gridCol w:w="1276"/>
      </w:tblGrid>
      <w:tr w:rsidR="0093099B" w14:paraId="49BCD1E1" w14:textId="77777777" w:rsidTr="00AC33E0">
        <w:trPr>
          <w:trHeight w:val="480"/>
        </w:trPr>
        <w:tc>
          <w:tcPr>
            <w:tcW w:w="53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1A1916D"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Aggregated Funding Gap</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3E54D984"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58296B67"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480A2F13"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26774EA4" w14:textId="77777777" w:rsidTr="00AC33E0">
        <w:trPr>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BCC86BE"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2020/21 (£m)</w:t>
            </w:r>
          </w:p>
        </w:tc>
        <w:tc>
          <w:tcPr>
            <w:tcW w:w="1276" w:type="dxa"/>
            <w:tcBorders>
              <w:top w:val="nil"/>
              <w:left w:val="nil"/>
              <w:bottom w:val="single" w:sz="8" w:space="0" w:color="auto"/>
              <w:right w:val="single" w:sz="8" w:space="0" w:color="auto"/>
            </w:tcBorders>
            <w:shd w:val="clear" w:color="auto" w:fill="auto"/>
            <w:vAlign w:val="center"/>
            <w:hideMark/>
          </w:tcPr>
          <w:p w14:paraId="205A1758"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c>
          <w:tcPr>
            <w:tcW w:w="1275" w:type="dxa"/>
            <w:tcBorders>
              <w:top w:val="nil"/>
              <w:left w:val="nil"/>
              <w:bottom w:val="single" w:sz="8" w:space="0" w:color="auto"/>
              <w:right w:val="single" w:sz="8" w:space="0" w:color="auto"/>
            </w:tcBorders>
            <w:shd w:val="clear" w:color="auto" w:fill="auto"/>
            <w:vAlign w:val="center"/>
            <w:hideMark/>
          </w:tcPr>
          <w:p w14:paraId="3B3E493C"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c>
          <w:tcPr>
            <w:tcW w:w="1276" w:type="dxa"/>
            <w:tcBorders>
              <w:top w:val="nil"/>
              <w:left w:val="nil"/>
              <w:bottom w:val="single" w:sz="8" w:space="0" w:color="auto"/>
              <w:right w:val="single" w:sz="8" w:space="0" w:color="auto"/>
            </w:tcBorders>
            <w:shd w:val="clear" w:color="auto" w:fill="auto"/>
            <w:vAlign w:val="center"/>
            <w:hideMark/>
          </w:tcPr>
          <w:p w14:paraId="5F8C5A7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r>
      <w:tr w:rsidR="0093099B" w14:paraId="1F277F6E" w14:textId="77777777" w:rsidTr="00AC33E0">
        <w:trPr>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A10A106"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2021/22 (£m)</w:t>
            </w:r>
          </w:p>
        </w:tc>
        <w:tc>
          <w:tcPr>
            <w:tcW w:w="1276" w:type="dxa"/>
            <w:tcBorders>
              <w:top w:val="nil"/>
              <w:left w:val="nil"/>
              <w:bottom w:val="single" w:sz="8" w:space="0" w:color="auto"/>
              <w:right w:val="single" w:sz="8" w:space="0" w:color="auto"/>
            </w:tcBorders>
            <w:shd w:val="clear" w:color="auto" w:fill="auto"/>
            <w:vAlign w:val="center"/>
            <w:hideMark/>
          </w:tcPr>
          <w:p w14:paraId="7AFE4CE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08D91F13"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6.140</w:t>
            </w:r>
          </w:p>
        </w:tc>
        <w:tc>
          <w:tcPr>
            <w:tcW w:w="1276" w:type="dxa"/>
            <w:tcBorders>
              <w:top w:val="nil"/>
              <w:left w:val="nil"/>
              <w:bottom w:val="single" w:sz="8" w:space="0" w:color="auto"/>
              <w:right w:val="single" w:sz="8" w:space="0" w:color="auto"/>
            </w:tcBorders>
            <w:shd w:val="clear" w:color="auto" w:fill="auto"/>
            <w:vAlign w:val="center"/>
            <w:hideMark/>
          </w:tcPr>
          <w:p w14:paraId="0C89D7C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6.140</w:t>
            </w:r>
          </w:p>
        </w:tc>
      </w:tr>
      <w:tr w:rsidR="0093099B" w14:paraId="40402A05" w14:textId="77777777" w:rsidTr="00AC33E0">
        <w:trPr>
          <w:trHeight w:val="43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95050CA"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2022/23 (£m)</w:t>
            </w:r>
          </w:p>
        </w:tc>
        <w:tc>
          <w:tcPr>
            <w:tcW w:w="1276" w:type="dxa"/>
            <w:tcBorders>
              <w:top w:val="nil"/>
              <w:left w:val="nil"/>
              <w:bottom w:val="single" w:sz="8" w:space="0" w:color="auto"/>
              <w:right w:val="single" w:sz="8" w:space="0" w:color="auto"/>
            </w:tcBorders>
            <w:shd w:val="clear" w:color="auto" w:fill="auto"/>
            <w:vAlign w:val="center"/>
            <w:hideMark/>
          </w:tcPr>
          <w:p w14:paraId="29382735"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6A44DD3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6EE77353"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19.168</w:t>
            </w:r>
          </w:p>
        </w:tc>
      </w:tr>
      <w:tr w:rsidR="0093099B" w14:paraId="6BD65A45" w14:textId="77777777" w:rsidTr="00AC33E0">
        <w:trPr>
          <w:trHeight w:val="40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898C6D2"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2023/24 (£m)</w:t>
            </w:r>
          </w:p>
        </w:tc>
        <w:tc>
          <w:tcPr>
            <w:tcW w:w="1276" w:type="dxa"/>
            <w:tcBorders>
              <w:top w:val="nil"/>
              <w:left w:val="nil"/>
              <w:bottom w:val="single" w:sz="8" w:space="0" w:color="auto"/>
              <w:right w:val="single" w:sz="8" w:space="0" w:color="auto"/>
            </w:tcBorders>
            <w:shd w:val="clear" w:color="auto" w:fill="auto"/>
            <w:vAlign w:val="center"/>
            <w:hideMark/>
          </w:tcPr>
          <w:p w14:paraId="181071A9"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49E50E2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735DAD8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02A2711E" w14:textId="77777777" w:rsidTr="00AC33E0">
        <w:trPr>
          <w:trHeight w:val="33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1952079F"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xml:space="preserve">Total </w:t>
            </w:r>
          </w:p>
        </w:tc>
        <w:tc>
          <w:tcPr>
            <w:tcW w:w="1276" w:type="dxa"/>
            <w:tcBorders>
              <w:top w:val="nil"/>
              <w:left w:val="nil"/>
              <w:bottom w:val="single" w:sz="8" w:space="0" w:color="auto"/>
              <w:right w:val="single" w:sz="8" w:space="0" w:color="auto"/>
            </w:tcBorders>
            <w:shd w:val="clear" w:color="000000" w:fill="BFBFBF"/>
            <w:vAlign w:val="center"/>
            <w:hideMark/>
          </w:tcPr>
          <w:p w14:paraId="7AFB30A8"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20.840</w:t>
            </w:r>
          </w:p>
        </w:tc>
        <w:tc>
          <w:tcPr>
            <w:tcW w:w="1275" w:type="dxa"/>
            <w:tcBorders>
              <w:top w:val="nil"/>
              <w:left w:val="nil"/>
              <w:bottom w:val="single" w:sz="8" w:space="0" w:color="auto"/>
              <w:right w:val="single" w:sz="8" w:space="0" w:color="auto"/>
            </w:tcBorders>
            <w:shd w:val="clear" w:color="000000" w:fill="BFBFBF"/>
            <w:vAlign w:val="center"/>
            <w:hideMark/>
          </w:tcPr>
          <w:p w14:paraId="11868B54"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26.979</w:t>
            </w:r>
          </w:p>
        </w:tc>
        <w:tc>
          <w:tcPr>
            <w:tcW w:w="1276" w:type="dxa"/>
            <w:tcBorders>
              <w:top w:val="nil"/>
              <w:left w:val="nil"/>
              <w:bottom w:val="single" w:sz="8" w:space="0" w:color="auto"/>
              <w:right w:val="single" w:sz="8" w:space="0" w:color="auto"/>
            </w:tcBorders>
            <w:shd w:val="clear" w:color="000000" w:fill="BFBFBF"/>
            <w:vAlign w:val="center"/>
            <w:hideMark/>
          </w:tcPr>
          <w:p w14:paraId="719BD760"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46.148</w:t>
            </w:r>
          </w:p>
        </w:tc>
      </w:tr>
      <w:tr w:rsidR="0093099B" w14:paraId="4690D1E1"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CDA4D76"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4DDA7F3C"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525009B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6390D6E4"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24A6CF53" w14:textId="77777777" w:rsidTr="00AC33E0">
        <w:trPr>
          <w:trHeight w:val="37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CD0718A"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Previous position (£m)</w:t>
            </w:r>
          </w:p>
        </w:tc>
        <w:tc>
          <w:tcPr>
            <w:tcW w:w="1276" w:type="dxa"/>
            <w:tcBorders>
              <w:top w:val="nil"/>
              <w:left w:val="nil"/>
              <w:bottom w:val="single" w:sz="8" w:space="0" w:color="auto"/>
              <w:right w:val="single" w:sz="8" w:space="0" w:color="auto"/>
            </w:tcBorders>
            <w:shd w:val="clear" w:color="auto" w:fill="auto"/>
            <w:vAlign w:val="center"/>
            <w:hideMark/>
          </w:tcPr>
          <w:p w14:paraId="23A09BF1"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30.370</w:t>
            </w:r>
          </w:p>
        </w:tc>
        <w:tc>
          <w:tcPr>
            <w:tcW w:w="1275" w:type="dxa"/>
            <w:tcBorders>
              <w:top w:val="nil"/>
              <w:left w:val="nil"/>
              <w:bottom w:val="single" w:sz="8" w:space="0" w:color="auto"/>
              <w:right w:val="single" w:sz="8" w:space="0" w:color="auto"/>
            </w:tcBorders>
            <w:shd w:val="clear" w:color="auto" w:fill="auto"/>
            <w:vAlign w:val="center"/>
            <w:hideMark/>
          </w:tcPr>
          <w:p w14:paraId="638B3A1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35.888</w:t>
            </w:r>
          </w:p>
        </w:tc>
        <w:tc>
          <w:tcPr>
            <w:tcW w:w="1276" w:type="dxa"/>
            <w:tcBorders>
              <w:top w:val="nil"/>
              <w:left w:val="nil"/>
              <w:bottom w:val="single" w:sz="8" w:space="0" w:color="auto"/>
              <w:right w:val="single" w:sz="8" w:space="0" w:color="auto"/>
            </w:tcBorders>
            <w:shd w:val="clear" w:color="auto" w:fill="auto"/>
            <w:vAlign w:val="center"/>
            <w:hideMark/>
          </w:tcPr>
          <w:p w14:paraId="6F40D135"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47.326</w:t>
            </w:r>
          </w:p>
        </w:tc>
      </w:tr>
      <w:tr w:rsidR="0093099B" w14:paraId="25ABDF97" w14:textId="77777777" w:rsidTr="00AC33E0">
        <w:trPr>
          <w:trHeight w:val="36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E6C5A60"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Variance (£m)</w:t>
            </w:r>
          </w:p>
        </w:tc>
        <w:tc>
          <w:tcPr>
            <w:tcW w:w="1276" w:type="dxa"/>
            <w:tcBorders>
              <w:top w:val="nil"/>
              <w:left w:val="nil"/>
              <w:bottom w:val="single" w:sz="8" w:space="0" w:color="auto"/>
              <w:right w:val="single" w:sz="8" w:space="0" w:color="auto"/>
            </w:tcBorders>
            <w:shd w:val="clear" w:color="000000" w:fill="BFBFBF"/>
            <w:vAlign w:val="center"/>
            <w:hideMark/>
          </w:tcPr>
          <w:p w14:paraId="0DD3E9B2"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-9.530</w:t>
            </w:r>
          </w:p>
        </w:tc>
        <w:tc>
          <w:tcPr>
            <w:tcW w:w="1275" w:type="dxa"/>
            <w:tcBorders>
              <w:top w:val="nil"/>
              <w:left w:val="nil"/>
              <w:bottom w:val="single" w:sz="8" w:space="0" w:color="auto"/>
              <w:right w:val="single" w:sz="8" w:space="0" w:color="auto"/>
            </w:tcBorders>
            <w:shd w:val="clear" w:color="000000" w:fill="BFBFBF"/>
            <w:vAlign w:val="center"/>
            <w:hideMark/>
          </w:tcPr>
          <w:p w14:paraId="15B91CD2"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-8.909</w:t>
            </w:r>
          </w:p>
        </w:tc>
        <w:tc>
          <w:tcPr>
            <w:tcW w:w="1276" w:type="dxa"/>
            <w:tcBorders>
              <w:top w:val="nil"/>
              <w:left w:val="nil"/>
              <w:bottom w:val="single" w:sz="8" w:space="0" w:color="auto"/>
              <w:right w:val="single" w:sz="8" w:space="0" w:color="auto"/>
            </w:tcBorders>
            <w:shd w:val="clear" w:color="000000" w:fill="BFBFBF"/>
            <w:vAlign w:val="center"/>
            <w:hideMark/>
          </w:tcPr>
          <w:p w14:paraId="79935EE1"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-1.178</w:t>
            </w:r>
          </w:p>
        </w:tc>
      </w:tr>
    </w:tbl>
    <w:p w14:paraId="4DAD7574" w14:textId="77777777" w:rsidR="00AC33E0" w:rsidRDefault="00AC33E0" w:rsidP="00AC33E0">
      <w:pPr>
        <w:tabs>
          <w:tab w:val="left" w:pos="567"/>
          <w:tab w:val="left" w:pos="1134"/>
        </w:tabs>
        <w:spacing w:after="0"/>
        <w:rPr>
          <w:rFonts w:cs="Arial"/>
        </w:rPr>
      </w:pPr>
    </w:p>
    <w:p w14:paraId="127FB591" w14:textId="77777777" w:rsidR="00AC33E0" w:rsidRDefault="00AC33E0" w:rsidP="00AC33E0">
      <w:pPr>
        <w:tabs>
          <w:tab w:val="left" w:pos="567"/>
          <w:tab w:val="left" w:pos="1134"/>
        </w:tabs>
        <w:spacing w:after="0"/>
        <w:rPr>
          <w:rFonts w:cs="Arial"/>
        </w:rPr>
      </w:pPr>
    </w:p>
    <w:tbl>
      <w:tblPr>
        <w:tblW w:w="9204" w:type="dxa"/>
        <w:tblLook w:val="04A0" w:firstRow="1" w:lastRow="0" w:firstColumn="1" w:lastColumn="0" w:noHBand="0" w:noVBand="1"/>
      </w:tblPr>
      <w:tblGrid>
        <w:gridCol w:w="5377"/>
        <w:gridCol w:w="1276"/>
        <w:gridCol w:w="1275"/>
        <w:gridCol w:w="1276"/>
      </w:tblGrid>
      <w:tr w:rsidR="0093099B" w14:paraId="7A773D81" w14:textId="77777777" w:rsidTr="00AC33E0">
        <w:trPr>
          <w:trHeight w:val="330"/>
        </w:trPr>
        <w:tc>
          <w:tcPr>
            <w:tcW w:w="53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86527A9" w14:textId="188876EF" w:rsidR="00AC33E0" w:rsidRPr="00846C6D" w:rsidRDefault="00AC33E0" w:rsidP="00AC33E0">
            <w:pPr>
              <w:autoSpaceDE/>
              <w:autoSpaceDN/>
              <w:adjustRightInd/>
              <w:spacing w:after="0"/>
              <w:jc w:val="left"/>
              <w:rPr>
                <w:rFonts w:eastAsia="Times New Roman" w:cs="Arial"/>
                <w:b/>
                <w:bCs/>
                <w:lang w:eastAsia="en-GB"/>
              </w:rPr>
            </w:pPr>
            <w:r>
              <w:rPr>
                <w:rFonts w:eastAsia="Times New Roman" w:cs="Arial"/>
                <w:b/>
                <w:bCs/>
                <w:lang w:eastAsia="en-GB"/>
              </w:rPr>
              <w:t>Transitional Reserve</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6BAF49C5"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3EAE006E"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34534B29"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2AFD7347" w14:textId="77777777" w:rsidTr="00AC33E0">
        <w:trPr>
          <w:trHeight w:val="6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B7F875B"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Opening Balance</w:t>
            </w:r>
          </w:p>
        </w:tc>
        <w:tc>
          <w:tcPr>
            <w:tcW w:w="1276" w:type="dxa"/>
            <w:tcBorders>
              <w:top w:val="nil"/>
              <w:left w:val="nil"/>
              <w:bottom w:val="single" w:sz="8" w:space="0" w:color="auto"/>
              <w:right w:val="single" w:sz="8" w:space="0" w:color="auto"/>
            </w:tcBorders>
            <w:shd w:val="clear" w:color="auto" w:fill="auto"/>
            <w:vAlign w:val="center"/>
            <w:hideMark/>
          </w:tcPr>
          <w:p w14:paraId="767893E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150.393</w:t>
            </w:r>
          </w:p>
        </w:tc>
        <w:tc>
          <w:tcPr>
            <w:tcW w:w="1275" w:type="dxa"/>
            <w:tcBorders>
              <w:top w:val="nil"/>
              <w:left w:val="nil"/>
              <w:bottom w:val="single" w:sz="8" w:space="0" w:color="auto"/>
              <w:right w:val="single" w:sz="8" w:space="0" w:color="auto"/>
            </w:tcBorders>
            <w:shd w:val="clear" w:color="auto" w:fill="auto"/>
            <w:vAlign w:val="center"/>
            <w:hideMark/>
          </w:tcPr>
          <w:p w14:paraId="0ACE3F8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127.094</w:t>
            </w:r>
          </w:p>
        </w:tc>
        <w:tc>
          <w:tcPr>
            <w:tcW w:w="1276" w:type="dxa"/>
            <w:tcBorders>
              <w:top w:val="nil"/>
              <w:left w:val="nil"/>
              <w:bottom w:val="single" w:sz="8" w:space="0" w:color="auto"/>
              <w:right w:val="single" w:sz="8" w:space="0" w:color="auto"/>
            </w:tcBorders>
            <w:shd w:val="clear" w:color="auto" w:fill="auto"/>
            <w:vAlign w:val="center"/>
            <w:hideMark/>
          </w:tcPr>
          <w:p w14:paraId="25683D1E"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99.811</w:t>
            </w:r>
          </w:p>
        </w:tc>
      </w:tr>
      <w:tr w:rsidR="0093099B" w14:paraId="6BB16C08"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83C3A4A"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Gap funding</w:t>
            </w:r>
          </w:p>
        </w:tc>
        <w:tc>
          <w:tcPr>
            <w:tcW w:w="1276" w:type="dxa"/>
            <w:tcBorders>
              <w:top w:val="nil"/>
              <w:left w:val="nil"/>
              <w:bottom w:val="single" w:sz="8" w:space="0" w:color="auto"/>
              <w:right w:val="single" w:sz="8" w:space="0" w:color="auto"/>
            </w:tcBorders>
            <w:shd w:val="clear" w:color="auto" w:fill="auto"/>
            <w:vAlign w:val="center"/>
            <w:hideMark/>
          </w:tcPr>
          <w:p w14:paraId="19951E5F"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c>
          <w:tcPr>
            <w:tcW w:w="1275" w:type="dxa"/>
            <w:tcBorders>
              <w:top w:val="nil"/>
              <w:left w:val="nil"/>
              <w:bottom w:val="single" w:sz="8" w:space="0" w:color="auto"/>
              <w:right w:val="single" w:sz="8" w:space="0" w:color="auto"/>
            </w:tcBorders>
            <w:shd w:val="clear" w:color="auto" w:fill="auto"/>
            <w:vAlign w:val="center"/>
            <w:hideMark/>
          </w:tcPr>
          <w:p w14:paraId="08BAF529"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26.979</w:t>
            </w:r>
          </w:p>
        </w:tc>
        <w:tc>
          <w:tcPr>
            <w:tcW w:w="1276" w:type="dxa"/>
            <w:tcBorders>
              <w:top w:val="nil"/>
              <w:left w:val="nil"/>
              <w:bottom w:val="single" w:sz="8" w:space="0" w:color="auto"/>
              <w:right w:val="single" w:sz="8" w:space="0" w:color="auto"/>
            </w:tcBorders>
            <w:shd w:val="clear" w:color="auto" w:fill="auto"/>
            <w:vAlign w:val="center"/>
            <w:hideMark/>
          </w:tcPr>
          <w:p w14:paraId="075BE6C9"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46.148</w:t>
            </w:r>
          </w:p>
        </w:tc>
      </w:tr>
      <w:tr w:rsidR="0093099B" w14:paraId="3645CE3F"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08A65E5"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Commitments</w:t>
            </w:r>
          </w:p>
        </w:tc>
        <w:tc>
          <w:tcPr>
            <w:tcW w:w="1276" w:type="dxa"/>
            <w:tcBorders>
              <w:top w:val="nil"/>
              <w:left w:val="nil"/>
              <w:bottom w:val="single" w:sz="8" w:space="0" w:color="auto"/>
              <w:right w:val="single" w:sz="8" w:space="0" w:color="auto"/>
            </w:tcBorders>
            <w:shd w:val="clear" w:color="auto" w:fill="auto"/>
            <w:vAlign w:val="center"/>
            <w:hideMark/>
          </w:tcPr>
          <w:p w14:paraId="2873C6C1"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2.460</w:t>
            </w:r>
          </w:p>
        </w:tc>
        <w:tc>
          <w:tcPr>
            <w:tcW w:w="1275" w:type="dxa"/>
            <w:tcBorders>
              <w:top w:val="nil"/>
              <w:left w:val="nil"/>
              <w:bottom w:val="single" w:sz="8" w:space="0" w:color="auto"/>
              <w:right w:val="single" w:sz="8" w:space="0" w:color="auto"/>
            </w:tcBorders>
            <w:shd w:val="clear" w:color="auto" w:fill="auto"/>
            <w:vAlign w:val="center"/>
            <w:hideMark/>
          </w:tcPr>
          <w:p w14:paraId="7C9C954E"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0.304</w:t>
            </w:r>
          </w:p>
        </w:tc>
        <w:tc>
          <w:tcPr>
            <w:tcW w:w="1276" w:type="dxa"/>
            <w:tcBorders>
              <w:top w:val="nil"/>
              <w:left w:val="nil"/>
              <w:bottom w:val="single" w:sz="8" w:space="0" w:color="auto"/>
              <w:right w:val="single" w:sz="8" w:space="0" w:color="auto"/>
            </w:tcBorders>
            <w:shd w:val="clear" w:color="auto" w:fill="auto"/>
            <w:vAlign w:val="center"/>
            <w:hideMark/>
          </w:tcPr>
          <w:p w14:paraId="1E18BE3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0.000</w:t>
            </w:r>
          </w:p>
        </w:tc>
      </w:tr>
      <w:tr w:rsidR="0093099B" w14:paraId="58AE39C7" w14:textId="77777777" w:rsidTr="00AC33E0">
        <w:trPr>
          <w:trHeight w:val="33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F061C4E"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Closing balance</w:t>
            </w:r>
          </w:p>
        </w:tc>
        <w:tc>
          <w:tcPr>
            <w:tcW w:w="1276" w:type="dxa"/>
            <w:tcBorders>
              <w:top w:val="nil"/>
              <w:left w:val="nil"/>
              <w:bottom w:val="single" w:sz="8" w:space="0" w:color="auto"/>
              <w:right w:val="single" w:sz="8" w:space="0" w:color="auto"/>
            </w:tcBorders>
            <w:shd w:val="clear" w:color="000000" w:fill="BFBFBF"/>
            <w:vAlign w:val="center"/>
            <w:hideMark/>
          </w:tcPr>
          <w:p w14:paraId="1878B8E0"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127.094</w:t>
            </w:r>
          </w:p>
        </w:tc>
        <w:tc>
          <w:tcPr>
            <w:tcW w:w="1275" w:type="dxa"/>
            <w:tcBorders>
              <w:top w:val="nil"/>
              <w:left w:val="nil"/>
              <w:bottom w:val="single" w:sz="8" w:space="0" w:color="auto"/>
              <w:right w:val="single" w:sz="8" w:space="0" w:color="auto"/>
            </w:tcBorders>
            <w:shd w:val="clear" w:color="000000" w:fill="BFBFBF"/>
            <w:vAlign w:val="center"/>
            <w:hideMark/>
          </w:tcPr>
          <w:p w14:paraId="6A59295D"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99.811</w:t>
            </w:r>
          </w:p>
        </w:tc>
        <w:tc>
          <w:tcPr>
            <w:tcW w:w="1276" w:type="dxa"/>
            <w:tcBorders>
              <w:top w:val="nil"/>
              <w:left w:val="nil"/>
              <w:bottom w:val="single" w:sz="8" w:space="0" w:color="auto"/>
              <w:right w:val="single" w:sz="8" w:space="0" w:color="auto"/>
            </w:tcBorders>
            <w:shd w:val="clear" w:color="000000" w:fill="BFBFBF"/>
            <w:vAlign w:val="center"/>
            <w:hideMark/>
          </w:tcPr>
          <w:p w14:paraId="7994B344"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53.663</w:t>
            </w:r>
          </w:p>
        </w:tc>
      </w:tr>
    </w:tbl>
    <w:p w14:paraId="2EEB6DB9" w14:textId="77777777" w:rsidR="00AC33E0" w:rsidRPr="00846C6D" w:rsidRDefault="00AC33E0" w:rsidP="00AC33E0">
      <w:pPr>
        <w:tabs>
          <w:tab w:val="left" w:pos="567"/>
          <w:tab w:val="left" w:pos="1134"/>
        </w:tabs>
        <w:spacing w:after="0"/>
        <w:rPr>
          <w:rFonts w:cs="Arial"/>
        </w:rPr>
      </w:pPr>
    </w:p>
    <w:p w14:paraId="18DD114D" w14:textId="77777777" w:rsidR="00AC33E0" w:rsidRDefault="00AC33E0" w:rsidP="00AC33E0">
      <w:pPr>
        <w:tabs>
          <w:tab w:val="left" w:pos="567"/>
          <w:tab w:val="left" w:pos="1134"/>
        </w:tabs>
        <w:spacing w:after="0"/>
        <w:ind w:left="142"/>
        <w:rPr>
          <w:rFonts w:cs="Arial"/>
          <w:b/>
          <w:i/>
          <w:u w:val="single"/>
        </w:rPr>
      </w:pPr>
      <w:r w:rsidRPr="00846C6D">
        <w:rPr>
          <w:rFonts w:cs="Arial"/>
          <w:b/>
          <w:i/>
          <w:u w:val="single"/>
        </w:rPr>
        <w:t>Option C</w:t>
      </w:r>
    </w:p>
    <w:p w14:paraId="73ED6833" w14:textId="77777777" w:rsidR="00AC33E0" w:rsidRDefault="00AC33E0" w:rsidP="00AC33E0">
      <w:pPr>
        <w:tabs>
          <w:tab w:val="left" w:pos="567"/>
          <w:tab w:val="left" w:pos="1134"/>
        </w:tabs>
        <w:spacing w:after="0"/>
        <w:ind w:left="142"/>
        <w:rPr>
          <w:rFonts w:cs="Arial"/>
          <w:b/>
          <w:i/>
          <w:u w:val="single"/>
        </w:rPr>
      </w:pPr>
    </w:p>
    <w:tbl>
      <w:tblPr>
        <w:tblW w:w="9204" w:type="dxa"/>
        <w:tblLook w:val="04A0" w:firstRow="1" w:lastRow="0" w:firstColumn="1" w:lastColumn="0" w:noHBand="0" w:noVBand="1"/>
      </w:tblPr>
      <w:tblGrid>
        <w:gridCol w:w="5377"/>
        <w:gridCol w:w="1276"/>
        <w:gridCol w:w="1275"/>
        <w:gridCol w:w="1276"/>
      </w:tblGrid>
      <w:tr w:rsidR="0093099B" w14:paraId="09C8882C" w14:textId="77777777" w:rsidTr="00AC33E0">
        <w:trPr>
          <w:trHeight w:val="480"/>
        </w:trPr>
        <w:tc>
          <w:tcPr>
            <w:tcW w:w="53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5C35353"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Aggregated Funding Gap</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61609F72"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52D1C1D6"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54061E62"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4FABA581" w14:textId="77777777" w:rsidTr="00AC33E0">
        <w:trPr>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D1CA90B"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2020/21 (£m)</w:t>
            </w:r>
          </w:p>
        </w:tc>
        <w:tc>
          <w:tcPr>
            <w:tcW w:w="1276" w:type="dxa"/>
            <w:tcBorders>
              <w:top w:val="nil"/>
              <w:left w:val="nil"/>
              <w:bottom w:val="single" w:sz="8" w:space="0" w:color="auto"/>
              <w:right w:val="single" w:sz="8" w:space="0" w:color="auto"/>
            </w:tcBorders>
            <w:shd w:val="clear" w:color="auto" w:fill="auto"/>
            <w:vAlign w:val="center"/>
            <w:hideMark/>
          </w:tcPr>
          <w:p w14:paraId="7F8DF983"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c>
          <w:tcPr>
            <w:tcW w:w="1275" w:type="dxa"/>
            <w:tcBorders>
              <w:top w:val="nil"/>
              <w:left w:val="nil"/>
              <w:bottom w:val="single" w:sz="8" w:space="0" w:color="auto"/>
              <w:right w:val="single" w:sz="8" w:space="0" w:color="auto"/>
            </w:tcBorders>
            <w:shd w:val="clear" w:color="auto" w:fill="auto"/>
            <w:vAlign w:val="center"/>
            <w:hideMark/>
          </w:tcPr>
          <w:p w14:paraId="04AA13C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c>
          <w:tcPr>
            <w:tcW w:w="1276" w:type="dxa"/>
            <w:tcBorders>
              <w:top w:val="nil"/>
              <w:left w:val="nil"/>
              <w:bottom w:val="single" w:sz="8" w:space="0" w:color="auto"/>
              <w:right w:val="single" w:sz="8" w:space="0" w:color="auto"/>
            </w:tcBorders>
            <w:shd w:val="clear" w:color="auto" w:fill="auto"/>
            <w:vAlign w:val="center"/>
            <w:hideMark/>
          </w:tcPr>
          <w:p w14:paraId="0BC640AB"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r>
      <w:tr w:rsidR="0093099B" w14:paraId="620E6C49" w14:textId="77777777" w:rsidTr="00AC33E0">
        <w:trPr>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6F92759"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2021/22 (£m)</w:t>
            </w:r>
          </w:p>
        </w:tc>
        <w:tc>
          <w:tcPr>
            <w:tcW w:w="1276" w:type="dxa"/>
            <w:tcBorders>
              <w:top w:val="nil"/>
              <w:left w:val="nil"/>
              <w:bottom w:val="single" w:sz="8" w:space="0" w:color="auto"/>
              <w:right w:val="single" w:sz="8" w:space="0" w:color="auto"/>
            </w:tcBorders>
            <w:shd w:val="clear" w:color="auto" w:fill="auto"/>
            <w:vAlign w:val="center"/>
            <w:hideMark/>
          </w:tcPr>
          <w:p w14:paraId="1F6740E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5730860C"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39.034</w:t>
            </w:r>
          </w:p>
        </w:tc>
        <w:tc>
          <w:tcPr>
            <w:tcW w:w="1276" w:type="dxa"/>
            <w:tcBorders>
              <w:top w:val="nil"/>
              <w:left w:val="nil"/>
              <w:bottom w:val="single" w:sz="8" w:space="0" w:color="auto"/>
              <w:right w:val="single" w:sz="8" w:space="0" w:color="auto"/>
            </w:tcBorders>
            <w:shd w:val="clear" w:color="auto" w:fill="auto"/>
            <w:vAlign w:val="center"/>
            <w:hideMark/>
          </w:tcPr>
          <w:p w14:paraId="7B936ECB"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39.034</w:t>
            </w:r>
          </w:p>
        </w:tc>
      </w:tr>
      <w:tr w:rsidR="0093099B" w14:paraId="0885FF6E" w14:textId="77777777" w:rsidTr="00AC33E0">
        <w:trPr>
          <w:trHeight w:val="43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E5D272D"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2022/23 (£m)</w:t>
            </w:r>
          </w:p>
        </w:tc>
        <w:tc>
          <w:tcPr>
            <w:tcW w:w="1276" w:type="dxa"/>
            <w:tcBorders>
              <w:top w:val="nil"/>
              <w:left w:val="nil"/>
              <w:bottom w:val="single" w:sz="8" w:space="0" w:color="auto"/>
              <w:right w:val="single" w:sz="8" w:space="0" w:color="auto"/>
            </w:tcBorders>
            <w:shd w:val="clear" w:color="auto" w:fill="auto"/>
            <w:vAlign w:val="center"/>
            <w:hideMark/>
          </w:tcPr>
          <w:p w14:paraId="36B4D073"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51ADA338"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0D5B743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19.826</w:t>
            </w:r>
          </w:p>
        </w:tc>
      </w:tr>
      <w:tr w:rsidR="0093099B" w14:paraId="5E54E7D3" w14:textId="77777777" w:rsidTr="00AC33E0">
        <w:trPr>
          <w:trHeight w:val="40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7A4E133"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2023/24 (£m)</w:t>
            </w:r>
          </w:p>
        </w:tc>
        <w:tc>
          <w:tcPr>
            <w:tcW w:w="1276" w:type="dxa"/>
            <w:tcBorders>
              <w:top w:val="nil"/>
              <w:left w:val="nil"/>
              <w:bottom w:val="single" w:sz="8" w:space="0" w:color="auto"/>
              <w:right w:val="single" w:sz="8" w:space="0" w:color="auto"/>
            </w:tcBorders>
            <w:shd w:val="clear" w:color="auto" w:fill="auto"/>
            <w:vAlign w:val="center"/>
            <w:hideMark/>
          </w:tcPr>
          <w:p w14:paraId="2B602AE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2359F34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4CD68FBB"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5A0CC2CD" w14:textId="77777777" w:rsidTr="00AC33E0">
        <w:trPr>
          <w:trHeight w:val="33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7A4E8342"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xml:space="preserve">Total </w:t>
            </w:r>
          </w:p>
        </w:tc>
        <w:tc>
          <w:tcPr>
            <w:tcW w:w="1276" w:type="dxa"/>
            <w:tcBorders>
              <w:top w:val="nil"/>
              <w:left w:val="nil"/>
              <w:bottom w:val="single" w:sz="8" w:space="0" w:color="auto"/>
              <w:right w:val="single" w:sz="8" w:space="0" w:color="auto"/>
            </w:tcBorders>
            <w:shd w:val="clear" w:color="000000" w:fill="BFBFBF"/>
            <w:vAlign w:val="center"/>
            <w:hideMark/>
          </w:tcPr>
          <w:p w14:paraId="310E739D"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20.840</w:t>
            </w:r>
          </w:p>
        </w:tc>
        <w:tc>
          <w:tcPr>
            <w:tcW w:w="1275" w:type="dxa"/>
            <w:tcBorders>
              <w:top w:val="nil"/>
              <w:left w:val="nil"/>
              <w:bottom w:val="single" w:sz="8" w:space="0" w:color="auto"/>
              <w:right w:val="single" w:sz="8" w:space="0" w:color="auto"/>
            </w:tcBorders>
            <w:shd w:val="clear" w:color="000000" w:fill="BFBFBF"/>
            <w:vAlign w:val="center"/>
            <w:hideMark/>
          </w:tcPr>
          <w:p w14:paraId="12761299"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59.873</w:t>
            </w:r>
          </w:p>
        </w:tc>
        <w:tc>
          <w:tcPr>
            <w:tcW w:w="1276" w:type="dxa"/>
            <w:tcBorders>
              <w:top w:val="nil"/>
              <w:left w:val="nil"/>
              <w:bottom w:val="single" w:sz="8" w:space="0" w:color="auto"/>
              <w:right w:val="single" w:sz="8" w:space="0" w:color="auto"/>
            </w:tcBorders>
            <w:shd w:val="clear" w:color="000000" w:fill="BFBFBF"/>
            <w:vAlign w:val="center"/>
            <w:hideMark/>
          </w:tcPr>
          <w:p w14:paraId="56B432C6"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79.700</w:t>
            </w:r>
          </w:p>
        </w:tc>
      </w:tr>
      <w:tr w:rsidR="0093099B" w14:paraId="5E8BBC9E"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69A0964"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4E670FC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62D525F3"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261DC14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6B99B132" w14:textId="77777777" w:rsidTr="00AC33E0">
        <w:trPr>
          <w:trHeight w:val="37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1CFE9B8"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Previous position (£m)</w:t>
            </w:r>
          </w:p>
        </w:tc>
        <w:tc>
          <w:tcPr>
            <w:tcW w:w="1276" w:type="dxa"/>
            <w:tcBorders>
              <w:top w:val="nil"/>
              <w:left w:val="nil"/>
              <w:bottom w:val="single" w:sz="8" w:space="0" w:color="auto"/>
              <w:right w:val="single" w:sz="8" w:space="0" w:color="auto"/>
            </w:tcBorders>
            <w:shd w:val="clear" w:color="auto" w:fill="auto"/>
            <w:vAlign w:val="center"/>
            <w:hideMark/>
          </w:tcPr>
          <w:p w14:paraId="1045F60A"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30.370</w:t>
            </w:r>
          </w:p>
        </w:tc>
        <w:tc>
          <w:tcPr>
            <w:tcW w:w="1275" w:type="dxa"/>
            <w:tcBorders>
              <w:top w:val="nil"/>
              <w:left w:val="nil"/>
              <w:bottom w:val="single" w:sz="8" w:space="0" w:color="auto"/>
              <w:right w:val="single" w:sz="8" w:space="0" w:color="auto"/>
            </w:tcBorders>
            <w:shd w:val="clear" w:color="auto" w:fill="auto"/>
            <w:vAlign w:val="center"/>
            <w:hideMark/>
          </w:tcPr>
          <w:p w14:paraId="66FC87F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35.888</w:t>
            </w:r>
          </w:p>
        </w:tc>
        <w:tc>
          <w:tcPr>
            <w:tcW w:w="1276" w:type="dxa"/>
            <w:tcBorders>
              <w:top w:val="nil"/>
              <w:left w:val="nil"/>
              <w:bottom w:val="single" w:sz="8" w:space="0" w:color="auto"/>
              <w:right w:val="single" w:sz="8" w:space="0" w:color="auto"/>
            </w:tcBorders>
            <w:shd w:val="clear" w:color="auto" w:fill="auto"/>
            <w:vAlign w:val="center"/>
            <w:hideMark/>
          </w:tcPr>
          <w:p w14:paraId="00F900A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47.326</w:t>
            </w:r>
          </w:p>
        </w:tc>
      </w:tr>
      <w:tr w:rsidR="0093099B" w14:paraId="0154E78F" w14:textId="77777777" w:rsidTr="00AC33E0">
        <w:trPr>
          <w:trHeight w:val="36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022FB86A"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Variance (£m)</w:t>
            </w:r>
          </w:p>
        </w:tc>
        <w:tc>
          <w:tcPr>
            <w:tcW w:w="1276" w:type="dxa"/>
            <w:tcBorders>
              <w:top w:val="nil"/>
              <w:left w:val="nil"/>
              <w:bottom w:val="single" w:sz="8" w:space="0" w:color="auto"/>
              <w:right w:val="single" w:sz="8" w:space="0" w:color="auto"/>
            </w:tcBorders>
            <w:shd w:val="clear" w:color="000000" w:fill="BFBFBF"/>
            <w:vAlign w:val="center"/>
            <w:hideMark/>
          </w:tcPr>
          <w:p w14:paraId="7BC27313"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-9.530</w:t>
            </w:r>
          </w:p>
        </w:tc>
        <w:tc>
          <w:tcPr>
            <w:tcW w:w="1275" w:type="dxa"/>
            <w:tcBorders>
              <w:top w:val="nil"/>
              <w:left w:val="nil"/>
              <w:bottom w:val="single" w:sz="8" w:space="0" w:color="auto"/>
              <w:right w:val="single" w:sz="8" w:space="0" w:color="auto"/>
            </w:tcBorders>
            <w:shd w:val="clear" w:color="000000" w:fill="BFBFBF"/>
            <w:vAlign w:val="center"/>
            <w:hideMark/>
          </w:tcPr>
          <w:p w14:paraId="6DC5A56D"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23.985</w:t>
            </w:r>
          </w:p>
        </w:tc>
        <w:tc>
          <w:tcPr>
            <w:tcW w:w="1276" w:type="dxa"/>
            <w:tcBorders>
              <w:top w:val="nil"/>
              <w:left w:val="nil"/>
              <w:bottom w:val="single" w:sz="8" w:space="0" w:color="auto"/>
              <w:right w:val="single" w:sz="8" w:space="0" w:color="auto"/>
            </w:tcBorders>
            <w:shd w:val="clear" w:color="000000" w:fill="BFBFBF"/>
            <w:vAlign w:val="center"/>
            <w:hideMark/>
          </w:tcPr>
          <w:p w14:paraId="52682B60"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32.374</w:t>
            </w:r>
          </w:p>
        </w:tc>
      </w:tr>
    </w:tbl>
    <w:p w14:paraId="3143F8B8" w14:textId="77777777" w:rsidR="00AC33E0" w:rsidRDefault="00AC33E0" w:rsidP="00AC33E0">
      <w:pPr>
        <w:tabs>
          <w:tab w:val="left" w:pos="567"/>
          <w:tab w:val="left" w:pos="1134"/>
        </w:tabs>
        <w:spacing w:after="0"/>
        <w:ind w:left="142"/>
        <w:rPr>
          <w:rFonts w:cs="Arial"/>
          <w:b/>
          <w:i/>
          <w:u w:val="single"/>
        </w:rPr>
      </w:pPr>
    </w:p>
    <w:p w14:paraId="17A98549" w14:textId="77777777" w:rsidR="00AC33E0" w:rsidRDefault="00AC33E0" w:rsidP="00AC33E0">
      <w:pPr>
        <w:tabs>
          <w:tab w:val="left" w:pos="567"/>
          <w:tab w:val="left" w:pos="1134"/>
        </w:tabs>
        <w:spacing w:after="0"/>
        <w:ind w:left="142"/>
        <w:rPr>
          <w:rFonts w:cs="Arial"/>
          <w:b/>
          <w:i/>
          <w:u w:val="single"/>
        </w:rPr>
      </w:pPr>
    </w:p>
    <w:tbl>
      <w:tblPr>
        <w:tblW w:w="9204" w:type="dxa"/>
        <w:tblLook w:val="04A0" w:firstRow="1" w:lastRow="0" w:firstColumn="1" w:lastColumn="0" w:noHBand="0" w:noVBand="1"/>
      </w:tblPr>
      <w:tblGrid>
        <w:gridCol w:w="5377"/>
        <w:gridCol w:w="1276"/>
        <w:gridCol w:w="1275"/>
        <w:gridCol w:w="1276"/>
      </w:tblGrid>
      <w:tr w:rsidR="0093099B" w14:paraId="547A7E18" w14:textId="77777777" w:rsidTr="00AC33E0">
        <w:trPr>
          <w:trHeight w:val="330"/>
        </w:trPr>
        <w:tc>
          <w:tcPr>
            <w:tcW w:w="53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D6B09B6" w14:textId="75BDB7CE" w:rsidR="00AC33E0" w:rsidRPr="00846C6D" w:rsidRDefault="00AC33E0" w:rsidP="00AC33E0">
            <w:pPr>
              <w:autoSpaceDE/>
              <w:autoSpaceDN/>
              <w:adjustRightInd/>
              <w:spacing w:after="0"/>
              <w:jc w:val="left"/>
              <w:rPr>
                <w:rFonts w:eastAsia="Times New Roman" w:cs="Arial"/>
                <w:b/>
                <w:bCs/>
                <w:lang w:eastAsia="en-GB"/>
              </w:rPr>
            </w:pPr>
            <w:r>
              <w:rPr>
                <w:rFonts w:eastAsia="Times New Roman" w:cs="Arial"/>
                <w:b/>
                <w:bCs/>
                <w:lang w:eastAsia="en-GB"/>
              </w:rPr>
              <w:t>Transitional Reserve</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6E60788C"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05FD8AE6"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6AC64CBA"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1A6A8FEE" w14:textId="77777777" w:rsidTr="00AC33E0">
        <w:trPr>
          <w:trHeight w:val="6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A4448BD"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Opening Balance</w:t>
            </w:r>
          </w:p>
        </w:tc>
        <w:tc>
          <w:tcPr>
            <w:tcW w:w="1276" w:type="dxa"/>
            <w:tcBorders>
              <w:top w:val="nil"/>
              <w:left w:val="nil"/>
              <w:bottom w:val="single" w:sz="8" w:space="0" w:color="auto"/>
              <w:right w:val="single" w:sz="8" w:space="0" w:color="auto"/>
            </w:tcBorders>
            <w:shd w:val="clear" w:color="auto" w:fill="auto"/>
            <w:vAlign w:val="center"/>
            <w:hideMark/>
          </w:tcPr>
          <w:p w14:paraId="28A77BB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150.250</w:t>
            </w:r>
          </w:p>
        </w:tc>
        <w:tc>
          <w:tcPr>
            <w:tcW w:w="1275" w:type="dxa"/>
            <w:tcBorders>
              <w:top w:val="nil"/>
              <w:left w:val="nil"/>
              <w:bottom w:val="single" w:sz="8" w:space="0" w:color="auto"/>
              <w:right w:val="single" w:sz="8" w:space="0" w:color="auto"/>
            </w:tcBorders>
            <w:shd w:val="clear" w:color="auto" w:fill="auto"/>
            <w:vAlign w:val="center"/>
            <w:hideMark/>
          </w:tcPr>
          <w:p w14:paraId="3C40E0AF"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126.959</w:t>
            </w:r>
          </w:p>
        </w:tc>
        <w:tc>
          <w:tcPr>
            <w:tcW w:w="1276" w:type="dxa"/>
            <w:tcBorders>
              <w:top w:val="nil"/>
              <w:left w:val="nil"/>
              <w:bottom w:val="single" w:sz="8" w:space="0" w:color="auto"/>
              <w:right w:val="single" w:sz="8" w:space="0" w:color="auto"/>
            </w:tcBorders>
            <w:shd w:val="clear" w:color="auto" w:fill="auto"/>
            <w:vAlign w:val="center"/>
            <w:hideMark/>
          </w:tcPr>
          <w:p w14:paraId="1FF879EF"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66.782</w:t>
            </w:r>
          </w:p>
        </w:tc>
      </w:tr>
      <w:tr w:rsidR="0093099B" w14:paraId="6AFBBB08"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5206998"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Gap funding</w:t>
            </w:r>
          </w:p>
        </w:tc>
        <w:tc>
          <w:tcPr>
            <w:tcW w:w="1276" w:type="dxa"/>
            <w:tcBorders>
              <w:top w:val="nil"/>
              <w:left w:val="nil"/>
              <w:bottom w:val="single" w:sz="8" w:space="0" w:color="auto"/>
              <w:right w:val="single" w:sz="8" w:space="0" w:color="auto"/>
            </w:tcBorders>
            <w:shd w:val="clear" w:color="auto" w:fill="auto"/>
            <w:vAlign w:val="center"/>
            <w:hideMark/>
          </w:tcPr>
          <w:p w14:paraId="477F8E5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20.840</w:t>
            </w:r>
          </w:p>
        </w:tc>
        <w:tc>
          <w:tcPr>
            <w:tcW w:w="1275" w:type="dxa"/>
            <w:tcBorders>
              <w:top w:val="nil"/>
              <w:left w:val="nil"/>
              <w:bottom w:val="single" w:sz="8" w:space="0" w:color="auto"/>
              <w:right w:val="single" w:sz="8" w:space="0" w:color="auto"/>
            </w:tcBorders>
            <w:shd w:val="clear" w:color="auto" w:fill="auto"/>
            <w:vAlign w:val="center"/>
            <w:hideMark/>
          </w:tcPr>
          <w:p w14:paraId="03835F58"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59.873</w:t>
            </w:r>
          </w:p>
        </w:tc>
        <w:tc>
          <w:tcPr>
            <w:tcW w:w="1276" w:type="dxa"/>
            <w:tcBorders>
              <w:top w:val="nil"/>
              <w:left w:val="nil"/>
              <w:bottom w:val="single" w:sz="8" w:space="0" w:color="auto"/>
              <w:right w:val="single" w:sz="8" w:space="0" w:color="auto"/>
            </w:tcBorders>
            <w:shd w:val="clear" w:color="auto" w:fill="auto"/>
            <w:vAlign w:val="center"/>
            <w:hideMark/>
          </w:tcPr>
          <w:p w14:paraId="61ED62FF"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79.700</w:t>
            </w:r>
          </w:p>
        </w:tc>
      </w:tr>
      <w:tr w:rsidR="0093099B" w14:paraId="160A727B"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6431F69"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Commitments</w:t>
            </w:r>
          </w:p>
        </w:tc>
        <w:tc>
          <w:tcPr>
            <w:tcW w:w="1276" w:type="dxa"/>
            <w:tcBorders>
              <w:top w:val="nil"/>
              <w:left w:val="nil"/>
              <w:bottom w:val="single" w:sz="8" w:space="0" w:color="auto"/>
              <w:right w:val="single" w:sz="8" w:space="0" w:color="auto"/>
            </w:tcBorders>
            <w:shd w:val="clear" w:color="auto" w:fill="auto"/>
            <w:vAlign w:val="center"/>
            <w:hideMark/>
          </w:tcPr>
          <w:p w14:paraId="6818E29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2.452</w:t>
            </w:r>
          </w:p>
        </w:tc>
        <w:tc>
          <w:tcPr>
            <w:tcW w:w="1275" w:type="dxa"/>
            <w:tcBorders>
              <w:top w:val="nil"/>
              <w:left w:val="nil"/>
              <w:bottom w:val="single" w:sz="8" w:space="0" w:color="auto"/>
              <w:right w:val="single" w:sz="8" w:space="0" w:color="auto"/>
            </w:tcBorders>
            <w:shd w:val="clear" w:color="auto" w:fill="auto"/>
            <w:vAlign w:val="center"/>
            <w:hideMark/>
          </w:tcPr>
          <w:p w14:paraId="1DB8FCAB"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0.304</w:t>
            </w:r>
          </w:p>
        </w:tc>
        <w:tc>
          <w:tcPr>
            <w:tcW w:w="1276" w:type="dxa"/>
            <w:tcBorders>
              <w:top w:val="nil"/>
              <w:left w:val="nil"/>
              <w:bottom w:val="single" w:sz="8" w:space="0" w:color="auto"/>
              <w:right w:val="single" w:sz="8" w:space="0" w:color="auto"/>
            </w:tcBorders>
            <w:shd w:val="clear" w:color="auto" w:fill="auto"/>
            <w:vAlign w:val="center"/>
            <w:hideMark/>
          </w:tcPr>
          <w:p w14:paraId="5CC1E8B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0.000</w:t>
            </w:r>
          </w:p>
        </w:tc>
      </w:tr>
      <w:tr w:rsidR="0093099B" w14:paraId="7ECEC107" w14:textId="77777777" w:rsidTr="00AC33E0">
        <w:trPr>
          <w:trHeight w:val="33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9D687AA"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Closing balance</w:t>
            </w:r>
          </w:p>
        </w:tc>
        <w:tc>
          <w:tcPr>
            <w:tcW w:w="1276" w:type="dxa"/>
            <w:tcBorders>
              <w:top w:val="nil"/>
              <w:left w:val="nil"/>
              <w:bottom w:val="single" w:sz="8" w:space="0" w:color="auto"/>
              <w:right w:val="single" w:sz="8" w:space="0" w:color="auto"/>
            </w:tcBorders>
            <w:shd w:val="clear" w:color="000000" w:fill="BFBFBF"/>
            <w:vAlign w:val="center"/>
            <w:hideMark/>
          </w:tcPr>
          <w:p w14:paraId="261F5A54"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126.959</w:t>
            </w:r>
          </w:p>
        </w:tc>
        <w:tc>
          <w:tcPr>
            <w:tcW w:w="1275" w:type="dxa"/>
            <w:tcBorders>
              <w:top w:val="nil"/>
              <w:left w:val="nil"/>
              <w:bottom w:val="single" w:sz="8" w:space="0" w:color="auto"/>
              <w:right w:val="single" w:sz="8" w:space="0" w:color="auto"/>
            </w:tcBorders>
            <w:shd w:val="clear" w:color="000000" w:fill="BFBFBF"/>
            <w:vAlign w:val="center"/>
            <w:hideMark/>
          </w:tcPr>
          <w:p w14:paraId="1BD90CA1"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66.782</w:t>
            </w:r>
          </w:p>
        </w:tc>
        <w:tc>
          <w:tcPr>
            <w:tcW w:w="1276" w:type="dxa"/>
            <w:tcBorders>
              <w:top w:val="nil"/>
              <w:left w:val="nil"/>
              <w:bottom w:val="single" w:sz="8" w:space="0" w:color="auto"/>
              <w:right w:val="single" w:sz="8" w:space="0" w:color="auto"/>
            </w:tcBorders>
            <w:shd w:val="clear" w:color="000000" w:fill="BFBFBF"/>
            <w:vAlign w:val="center"/>
            <w:hideMark/>
          </w:tcPr>
          <w:p w14:paraId="70C6343B"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-12.918</w:t>
            </w:r>
          </w:p>
        </w:tc>
      </w:tr>
    </w:tbl>
    <w:p w14:paraId="5CD024A6" w14:textId="77777777" w:rsidR="00AC33E0" w:rsidRDefault="00AC33E0" w:rsidP="00AC33E0">
      <w:pPr>
        <w:tabs>
          <w:tab w:val="left" w:pos="567"/>
          <w:tab w:val="left" w:pos="1134"/>
        </w:tabs>
        <w:spacing w:after="0"/>
        <w:ind w:left="142"/>
        <w:rPr>
          <w:rFonts w:cs="Arial"/>
          <w:b/>
          <w:i/>
          <w:u w:val="single"/>
        </w:rPr>
      </w:pPr>
    </w:p>
    <w:p w14:paraId="381ADEEE" w14:textId="77777777" w:rsidR="00AC33E0" w:rsidRDefault="00AC33E0" w:rsidP="00AC33E0">
      <w:pPr>
        <w:tabs>
          <w:tab w:val="left" w:pos="567"/>
          <w:tab w:val="left" w:pos="1134"/>
        </w:tabs>
        <w:spacing w:after="0"/>
        <w:ind w:left="142"/>
        <w:rPr>
          <w:rFonts w:cs="Arial"/>
          <w:b/>
          <w:i/>
          <w:u w:val="single"/>
        </w:rPr>
      </w:pPr>
      <w:r>
        <w:rPr>
          <w:rFonts w:cs="Arial"/>
          <w:b/>
          <w:i/>
          <w:u w:val="single"/>
        </w:rPr>
        <w:lastRenderedPageBreak/>
        <w:t>Option D</w:t>
      </w:r>
    </w:p>
    <w:p w14:paraId="79E71624" w14:textId="77777777" w:rsidR="00AC33E0" w:rsidRDefault="00AC33E0" w:rsidP="00AC33E0">
      <w:pPr>
        <w:tabs>
          <w:tab w:val="left" w:pos="567"/>
          <w:tab w:val="left" w:pos="1134"/>
        </w:tabs>
        <w:spacing w:after="0"/>
        <w:ind w:left="142"/>
        <w:rPr>
          <w:rFonts w:cs="Arial"/>
          <w:b/>
          <w:i/>
          <w:u w:val="single"/>
        </w:rPr>
      </w:pPr>
    </w:p>
    <w:tbl>
      <w:tblPr>
        <w:tblW w:w="9204" w:type="dxa"/>
        <w:tblLook w:val="04A0" w:firstRow="1" w:lastRow="0" w:firstColumn="1" w:lastColumn="0" w:noHBand="0" w:noVBand="1"/>
      </w:tblPr>
      <w:tblGrid>
        <w:gridCol w:w="5377"/>
        <w:gridCol w:w="1276"/>
        <w:gridCol w:w="1275"/>
        <w:gridCol w:w="1276"/>
      </w:tblGrid>
      <w:tr w:rsidR="0093099B" w14:paraId="389CACA9" w14:textId="77777777" w:rsidTr="00AC33E0">
        <w:trPr>
          <w:trHeight w:val="480"/>
        </w:trPr>
        <w:tc>
          <w:tcPr>
            <w:tcW w:w="53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149606F"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Aggregated Funding Gap</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670557D1"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5306D06E"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4776EE31"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59BB1A90" w14:textId="77777777" w:rsidTr="00AC33E0">
        <w:trPr>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D98A795"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2020/21 (£m)</w:t>
            </w:r>
          </w:p>
        </w:tc>
        <w:tc>
          <w:tcPr>
            <w:tcW w:w="1276" w:type="dxa"/>
            <w:tcBorders>
              <w:top w:val="nil"/>
              <w:left w:val="nil"/>
              <w:bottom w:val="single" w:sz="8" w:space="0" w:color="auto"/>
              <w:right w:val="single" w:sz="8" w:space="0" w:color="auto"/>
            </w:tcBorders>
            <w:shd w:val="clear" w:color="auto" w:fill="auto"/>
            <w:vAlign w:val="center"/>
            <w:hideMark/>
          </w:tcPr>
          <w:p w14:paraId="1461F751"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53.734</w:t>
            </w:r>
          </w:p>
        </w:tc>
        <w:tc>
          <w:tcPr>
            <w:tcW w:w="1275" w:type="dxa"/>
            <w:tcBorders>
              <w:top w:val="nil"/>
              <w:left w:val="nil"/>
              <w:bottom w:val="single" w:sz="8" w:space="0" w:color="auto"/>
              <w:right w:val="single" w:sz="8" w:space="0" w:color="auto"/>
            </w:tcBorders>
            <w:shd w:val="clear" w:color="auto" w:fill="auto"/>
            <w:vAlign w:val="center"/>
            <w:hideMark/>
          </w:tcPr>
          <w:p w14:paraId="0D599F64"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53.734</w:t>
            </w:r>
          </w:p>
        </w:tc>
        <w:tc>
          <w:tcPr>
            <w:tcW w:w="1276" w:type="dxa"/>
            <w:tcBorders>
              <w:top w:val="nil"/>
              <w:left w:val="nil"/>
              <w:bottom w:val="single" w:sz="8" w:space="0" w:color="auto"/>
              <w:right w:val="single" w:sz="8" w:space="0" w:color="auto"/>
            </w:tcBorders>
            <w:shd w:val="clear" w:color="auto" w:fill="auto"/>
            <w:vAlign w:val="center"/>
            <w:hideMark/>
          </w:tcPr>
          <w:p w14:paraId="4244855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53.734</w:t>
            </w:r>
          </w:p>
        </w:tc>
      </w:tr>
      <w:tr w:rsidR="0093099B" w14:paraId="3E1B6E68" w14:textId="77777777" w:rsidTr="00AC33E0">
        <w:trPr>
          <w:trHeight w:val="3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9F6F19B"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2021/22 (£m)</w:t>
            </w:r>
          </w:p>
        </w:tc>
        <w:tc>
          <w:tcPr>
            <w:tcW w:w="1276" w:type="dxa"/>
            <w:tcBorders>
              <w:top w:val="nil"/>
              <w:left w:val="nil"/>
              <w:bottom w:val="single" w:sz="8" w:space="0" w:color="auto"/>
              <w:right w:val="single" w:sz="8" w:space="0" w:color="auto"/>
            </w:tcBorders>
            <w:shd w:val="clear" w:color="auto" w:fill="auto"/>
            <w:vAlign w:val="center"/>
            <w:hideMark/>
          </w:tcPr>
          <w:p w14:paraId="119FCBB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3A56B718"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6.798</w:t>
            </w:r>
          </w:p>
        </w:tc>
        <w:tc>
          <w:tcPr>
            <w:tcW w:w="1276" w:type="dxa"/>
            <w:tcBorders>
              <w:top w:val="nil"/>
              <w:left w:val="nil"/>
              <w:bottom w:val="single" w:sz="8" w:space="0" w:color="auto"/>
              <w:right w:val="single" w:sz="8" w:space="0" w:color="auto"/>
            </w:tcBorders>
            <w:shd w:val="clear" w:color="auto" w:fill="auto"/>
            <w:vAlign w:val="center"/>
            <w:hideMark/>
          </w:tcPr>
          <w:p w14:paraId="2BBAF37B"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6.798</w:t>
            </w:r>
          </w:p>
        </w:tc>
      </w:tr>
      <w:tr w:rsidR="0093099B" w14:paraId="2CCAB77D" w14:textId="77777777" w:rsidTr="00AC33E0">
        <w:trPr>
          <w:trHeight w:val="43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D675284"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2022/23 (£m)</w:t>
            </w:r>
          </w:p>
        </w:tc>
        <w:tc>
          <w:tcPr>
            <w:tcW w:w="1276" w:type="dxa"/>
            <w:tcBorders>
              <w:top w:val="nil"/>
              <w:left w:val="nil"/>
              <w:bottom w:val="single" w:sz="8" w:space="0" w:color="auto"/>
              <w:right w:val="single" w:sz="8" w:space="0" w:color="auto"/>
            </w:tcBorders>
            <w:shd w:val="clear" w:color="auto" w:fill="auto"/>
            <w:vAlign w:val="center"/>
            <w:hideMark/>
          </w:tcPr>
          <w:p w14:paraId="3FD55769"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76873F9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3D9F8C0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19.839</w:t>
            </w:r>
          </w:p>
        </w:tc>
      </w:tr>
      <w:tr w:rsidR="0093099B" w14:paraId="08C271E3" w14:textId="77777777" w:rsidTr="00AC33E0">
        <w:trPr>
          <w:trHeight w:val="40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7EE07EE"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2023/24 (£m)</w:t>
            </w:r>
          </w:p>
        </w:tc>
        <w:tc>
          <w:tcPr>
            <w:tcW w:w="1276" w:type="dxa"/>
            <w:tcBorders>
              <w:top w:val="nil"/>
              <w:left w:val="nil"/>
              <w:bottom w:val="single" w:sz="8" w:space="0" w:color="auto"/>
              <w:right w:val="single" w:sz="8" w:space="0" w:color="auto"/>
            </w:tcBorders>
            <w:shd w:val="clear" w:color="auto" w:fill="auto"/>
            <w:vAlign w:val="center"/>
            <w:hideMark/>
          </w:tcPr>
          <w:p w14:paraId="01B32748"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50F6A55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2131A638"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4B26845B" w14:textId="77777777" w:rsidTr="00AC33E0">
        <w:trPr>
          <w:trHeight w:val="33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2697C624"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xml:space="preserve">Total </w:t>
            </w:r>
          </w:p>
        </w:tc>
        <w:tc>
          <w:tcPr>
            <w:tcW w:w="1276" w:type="dxa"/>
            <w:tcBorders>
              <w:top w:val="nil"/>
              <w:left w:val="nil"/>
              <w:bottom w:val="single" w:sz="8" w:space="0" w:color="auto"/>
              <w:right w:val="single" w:sz="8" w:space="0" w:color="auto"/>
            </w:tcBorders>
            <w:shd w:val="clear" w:color="000000" w:fill="BFBFBF"/>
            <w:vAlign w:val="center"/>
            <w:hideMark/>
          </w:tcPr>
          <w:p w14:paraId="27992128"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53.734</w:t>
            </w:r>
          </w:p>
        </w:tc>
        <w:tc>
          <w:tcPr>
            <w:tcW w:w="1275" w:type="dxa"/>
            <w:tcBorders>
              <w:top w:val="nil"/>
              <w:left w:val="nil"/>
              <w:bottom w:val="single" w:sz="8" w:space="0" w:color="auto"/>
              <w:right w:val="single" w:sz="8" w:space="0" w:color="auto"/>
            </w:tcBorders>
            <w:shd w:val="clear" w:color="000000" w:fill="BFBFBF"/>
            <w:vAlign w:val="center"/>
            <w:hideMark/>
          </w:tcPr>
          <w:p w14:paraId="3899B959"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60.531</w:t>
            </w:r>
          </w:p>
        </w:tc>
        <w:tc>
          <w:tcPr>
            <w:tcW w:w="1276" w:type="dxa"/>
            <w:tcBorders>
              <w:top w:val="nil"/>
              <w:left w:val="nil"/>
              <w:bottom w:val="single" w:sz="8" w:space="0" w:color="auto"/>
              <w:right w:val="single" w:sz="8" w:space="0" w:color="auto"/>
            </w:tcBorders>
            <w:shd w:val="clear" w:color="000000" w:fill="BFBFBF"/>
            <w:vAlign w:val="center"/>
            <w:hideMark/>
          </w:tcPr>
          <w:p w14:paraId="7C685F8C"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80.371</w:t>
            </w:r>
          </w:p>
        </w:tc>
      </w:tr>
      <w:tr w:rsidR="0093099B" w14:paraId="3BA13554"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FB072B3"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4F2CF61F"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0AEAECD7"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718CA4F5"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 </w:t>
            </w:r>
          </w:p>
        </w:tc>
      </w:tr>
      <w:tr w:rsidR="0093099B" w14:paraId="09EC07C3" w14:textId="77777777" w:rsidTr="00AC33E0">
        <w:trPr>
          <w:trHeight w:val="37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287A7C4"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Previous position (£m)</w:t>
            </w:r>
          </w:p>
        </w:tc>
        <w:tc>
          <w:tcPr>
            <w:tcW w:w="1276" w:type="dxa"/>
            <w:tcBorders>
              <w:top w:val="nil"/>
              <w:left w:val="nil"/>
              <w:bottom w:val="single" w:sz="8" w:space="0" w:color="auto"/>
              <w:right w:val="single" w:sz="8" w:space="0" w:color="auto"/>
            </w:tcBorders>
            <w:shd w:val="clear" w:color="auto" w:fill="auto"/>
            <w:vAlign w:val="center"/>
            <w:hideMark/>
          </w:tcPr>
          <w:p w14:paraId="193BD249"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30.370</w:t>
            </w:r>
          </w:p>
        </w:tc>
        <w:tc>
          <w:tcPr>
            <w:tcW w:w="1275" w:type="dxa"/>
            <w:tcBorders>
              <w:top w:val="nil"/>
              <w:left w:val="nil"/>
              <w:bottom w:val="single" w:sz="8" w:space="0" w:color="auto"/>
              <w:right w:val="single" w:sz="8" w:space="0" w:color="auto"/>
            </w:tcBorders>
            <w:shd w:val="clear" w:color="auto" w:fill="auto"/>
            <w:vAlign w:val="center"/>
            <w:hideMark/>
          </w:tcPr>
          <w:p w14:paraId="26FF0A5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35.888</w:t>
            </w:r>
          </w:p>
        </w:tc>
        <w:tc>
          <w:tcPr>
            <w:tcW w:w="1276" w:type="dxa"/>
            <w:tcBorders>
              <w:top w:val="nil"/>
              <w:left w:val="nil"/>
              <w:bottom w:val="single" w:sz="8" w:space="0" w:color="auto"/>
              <w:right w:val="single" w:sz="8" w:space="0" w:color="auto"/>
            </w:tcBorders>
            <w:shd w:val="clear" w:color="auto" w:fill="auto"/>
            <w:vAlign w:val="center"/>
            <w:hideMark/>
          </w:tcPr>
          <w:p w14:paraId="213BB06D"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47.326</w:t>
            </w:r>
          </w:p>
        </w:tc>
      </w:tr>
      <w:tr w:rsidR="0093099B" w14:paraId="63F0B941" w14:textId="77777777" w:rsidTr="00AC33E0">
        <w:trPr>
          <w:trHeight w:val="36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3EF2863A"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Variance (£m)</w:t>
            </w:r>
          </w:p>
        </w:tc>
        <w:tc>
          <w:tcPr>
            <w:tcW w:w="1276" w:type="dxa"/>
            <w:tcBorders>
              <w:top w:val="nil"/>
              <w:left w:val="nil"/>
              <w:bottom w:val="single" w:sz="8" w:space="0" w:color="auto"/>
              <w:right w:val="single" w:sz="8" w:space="0" w:color="auto"/>
            </w:tcBorders>
            <w:shd w:val="clear" w:color="000000" w:fill="BFBFBF"/>
            <w:vAlign w:val="center"/>
            <w:hideMark/>
          </w:tcPr>
          <w:p w14:paraId="7914365C"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23.364</w:t>
            </w:r>
          </w:p>
        </w:tc>
        <w:tc>
          <w:tcPr>
            <w:tcW w:w="1275" w:type="dxa"/>
            <w:tcBorders>
              <w:top w:val="nil"/>
              <w:left w:val="nil"/>
              <w:bottom w:val="single" w:sz="8" w:space="0" w:color="auto"/>
              <w:right w:val="single" w:sz="8" w:space="0" w:color="auto"/>
            </w:tcBorders>
            <w:shd w:val="clear" w:color="000000" w:fill="BFBFBF"/>
            <w:vAlign w:val="center"/>
            <w:hideMark/>
          </w:tcPr>
          <w:p w14:paraId="177658B7"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24.643</w:t>
            </w:r>
          </w:p>
        </w:tc>
        <w:tc>
          <w:tcPr>
            <w:tcW w:w="1276" w:type="dxa"/>
            <w:tcBorders>
              <w:top w:val="nil"/>
              <w:left w:val="nil"/>
              <w:bottom w:val="single" w:sz="8" w:space="0" w:color="auto"/>
              <w:right w:val="single" w:sz="8" w:space="0" w:color="auto"/>
            </w:tcBorders>
            <w:shd w:val="clear" w:color="000000" w:fill="BFBFBF"/>
            <w:vAlign w:val="center"/>
            <w:hideMark/>
          </w:tcPr>
          <w:p w14:paraId="32363089"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33.045</w:t>
            </w:r>
          </w:p>
        </w:tc>
      </w:tr>
    </w:tbl>
    <w:p w14:paraId="24FFE960" w14:textId="77777777" w:rsidR="00AC33E0" w:rsidRDefault="00AC33E0" w:rsidP="00AC33E0">
      <w:pPr>
        <w:tabs>
          <w:tab w:val="left" w:pos="567"/>
          <w:tab w:val="left" w:pos="1134"/>
        </w:tabs>
        <w:spacing w:after="0"/>
        <w:ind w:left="142"/>
        <w:rPr>
          <w:rFonts w:cs="Arial"/>
          <w:b/>
          <w:i/>
          <w:u w:val="single"/>
        </w:rPr>
      </w:pPr>
    </w:p>
    <w:p w14:paraId="08A8DDE5" w14:textId="77777777" w:rsidR="00AC33E0" w:rsidRDefault="00AC33E0" w:rsidP="00AC33E0">
      <w:pPr>
        <w:tabs>
          <w:tab w:val="left" w:pos="567"/>
          <w:tab w:val="left" w:pos="1134"/>
        </w:tabs>
        <w:spacing w:after="0"/>
        <w:ind w:left="142"/>
        <w:rPr>
          <w:rFonts w:cs="Arial"/>
          <w:b/>
          <w:i/>
          <w:u w:val="single"/>
        </w:rPr>
      </w:pPr>
    </w:p>
    <w:tbl>
      <w:tblPr>
        <w:tblW w:w="9204" w:type="dxa"/>
        <w:tblLook w:val="04A0" w:firstRow="1" w:lastRow="0" w:firstColumn="1" w:lastColumn="0" w:noHBand="0" w:noVBand="1"/>
      </w:tblPr>
      <w:tblGrid>
        <w:gridCol w:w="5377"/>
        <w:gridCol w:w="1276"/>
        <w:gridCol w:w="1275"/>
        <w:gridCol w:w="1276"/>
      </w:tblGrid>
      <w:tr w:rsidR="0093099B" w14:paraId="5C79FB31" w14:textId="77777777" w:rsidTr="00AC33E0">
        <w:trPr>
          <w:trHeight w:val="330"/>
        </w:trPr>
        <w:tc>
          <w:tcPr>
            <w:tcW w:w="537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15561BF" w14:textId="4020E0A7" w:rsidR="00AC33E0" w:rsidRPr="00846C6D" w:rsidRDefault="004177E4" w:rsidP="00AC33E0">
            <w:pPr>
              <w:autoSpaceDE/>
              <w:autoSpaceDN/>
              <w:adjustRightInd/>
              <w:spacing w:after="0"/>
              <w:jc w:val="left"/>
              <w:rPr>
                <w:rFonts w:eastAsia="Times New Roman" w:cs="Arial"/>
                <w:b/>
                <w:bCs/>
                <w:lang w:eastAsia="en-GB"/>
              </w:rPr>
            </w:pPr>
            <w:r>
              <w:rPr>
                <w:rFonts w:eastAsia="Times New Roman" w:cs="Arial"/>
                <w:b/>
                <w:bCs/>
                <w:lang w:eastAsia="en-GB"/>
              </w:rPr>
              <w:t>Transitional Reserve</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5393C822"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2020/21</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6771A1D5"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2021/22</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0D5A4E49"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2022/23</w:t>
            </w:r>
          </w:p>
        </w:tc>
      </w:tr>
      <w:tr w:rsidR="0093099B" w14:paraId="3E95D895" w14:textId="77777777" w:rsidTr="00AC33E0">
        <w:trPr>
          <w:trHeight w:val="6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EA67B3D"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Opening Balance</w:t>
            </w:r>
          </w:p>
        </w:tc>
        <w:tc>
          <w:tcPr>
            <w:tcW w:w="1276" w:type="dxa"/>
            <w:tcBorders>
              <w:top w:val="nil"/>
              <w:left w:val="nil"/>
              <w:bottom w:val="single" w:sz="8" w:space="0" w:color="auto"/>
              <w:right w:val="single" w:sz="8" w:space="0" w:color="auto"/>
            </w:tcBorders>
            <w:shd w:val="clear" w:color="auto" w:fill="auto"/>
            <w:vAlign w:val="center"/>
            <w:hideMark/>
          </w:tcPr>
          <w:p w14:paraId="63D2B756"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150.250</w:t>
            </w:r>
          </w:p>
        </w:tc>
        <w:tc>
          <w:tcPr>
            <w:tcW w:w="1275" w:type="dxa"/>
            <w:tcBorders>
              <w:top w:val="nil"/>
              <w:left w:val="nil"/>
              <w:bottom w:val="single" w:sz="8" w:space="0" w:color="auto"/>
              <w:right w:val="single" w:sz="8" w:space="0" w:color="auto"/>
            </w:tcBorders>
            <w:shd w:val="clear" w:color="auto" w:fill="auto"/>
            <w:vAlign w:val="center"/>
            <w:hideMark/>
          </w:tcPr>
          <w:p w14:paraId="25D058D4"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94.065</w:t>
            </w:r>
          </w:p>
        </w:tc>
        <w:tc>
          <w:tcPr>
            <w:tcW w:w="1276" w:type="dxa"/>
            <w:tcBorders>
              <w:top w:val="nil"/>
              <w:left w:val="nil"/>
              <w:bottom w:val="single" w:sz="8" w:space="0" w:color="auto"/>
              <w:right w:val="single" w:sz="8" w:space="0" w:color="auto"/>
            </w:tcBorders>
            <w:shd w:val="clear" w:color="auto" w:fill="auto"/>
            <w:vAlign w:val="center"/>
            <w:hideMark/>
          </w:tcPr>
          <w:p w14:paraId="44EC76C9"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33.230</w:t>
            </w:r>
          </w:p>
        </w:tc>
      </w:tr>
      <w:tr w:rsidR="0093099B" w14:paraId="3E957186"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5A2A49F"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Gap funding</w:t>
            </w:r>
          </w:p>
        </w:tc>
        <w:tc>
          <w:tcPr>
            <w:tcW w:w="1276" w:type="dxa"/>
            <w:tcBorders>
              <w:top w:val="nil"/>
              <w:left w:val="nil"/>
              <w:bottom w:val="single" w:sz="8" w:space="0" w:color="auto"/>
              <w:right w:val="single" w:sz="8" w:space="0" w:color="auto"/>
            </w:tcBorders>
            <w:shd w:val="clear" w:color="auto" w:fill="auto"/>
            <w:vAlign w:val="center"/>
            <w:hideMark/>
          </w:tcPr>
          <w:p w14:paraId="1B922F19"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53.734</w:t>
            </w:r>
          </w:p>
        </w:tc>
        <w:tc>
          <w:tcPr>
            <w:tcW w:w="1275" w:type="dxa"/>
            <w:tcBorders>
              <w:top w:val="nil"/>
              <w:left w:val="nil"/>
              <w:bottom w:val="single" w:sz="8" w:space="0" w:color="auto"/>
              <w:right w:val="single" w:sz="8" w:space="0" w:color="auto"/>
            </w:tcBorders>
            <w:shd w:val="clear" w:color="auto" w:fill="auto"/>
            <w:vAlign w:val="center"/>
            <w:hideMark/>
          </w:tcPr>
          <w:p w14:paraId="5225828F"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60.531</w:t>
            </w:r>
          </w:p>
        </w:tc>
        <w:tc>
          <w:tcPr>
            <w:tcW w:w="1276" w:type="dxa"/>
            <w:tcBorders>
              <w:top w:val="nil"/>
              <w:left w:val="nil"/>
              <w:bottom w:val="single" w:sz="8" w:space="0" w:color="auto"/>
              <w:right w:val="single" w:sz="8" w:space="0" w:color="auto"/>
            </w:tcBorders>
            <w:shd w:val="clear" w:color="auto" w:fill="auto"/>
            <w:vAlign w:val="center"/>
            <w:hideMark/>
          </w:tcPr>
          <w:p w14:paraId="040E95CC"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80.371</w:t>
            </w:r>
          </w:p>
        </w:tc>
      </w:tr>
      <w:tr w:rsidR="0093099B" w14:paraId="1F483E37" w14:textId="77777777" w:rsidTr="00AC33E0">
        <w:trPr>
          <w:trHeight w:val="33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6310749"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Commitments</w:t>
            </w:r>
          </w:p>
        </w:tc>
        <w:tc>
          <w:tcPr>
            <w:tcW w:w="1276" w:type="dxa"/>
            <w:tcBorders>
              <w:top w:val="nil"/>
              <w:left w:val="nil"/>
              <w:bottom w:val="single" w:sz="8" w:space="0" w:color="auto"/>
              <w:right w:val="single" w:sz="8" w:space="0" w:color="auto"/>
            </w:tcBorders>
            <w:shd w:val="clear" w:color="auto" w:fill="auto"/>
            <w:vAlign w:val="center"/>
            <w:hideMark/>
          </w:tcPr>
          <w:p w14:paraId="21F13AB0"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2.452</w:t>
            </w:r>
          </w:p>
        </w:tc>
        <w:tc>
          <w:tcPr>
            <w:tcW w:w="1275" w:type="dxa"/>
            <w:tcBorders>
              <w:top w:val="nil"/>
              <w:left w:val="nil"/>
              <w:bottom w:val="single" w:sz="8" w:space="0" w:color="auto"/>
              <w:right w:val="single" w:sz="8" w:space="0" w:color="auto"/>
            </w:tcBorders>
            <w:shd w:val="clear" w:color="auto" w:fill="auto"/>
            <w:vAlign w:val="center"/>
            <w:hideMark/>
          </w:tcPr>
          <w:p w14:paraId="3E652A22"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0.304</w:t>
            </w:r>
          </w:p>
        </w:tc>
        <w:tc>
          <w:tcPr>
            <w:tcW w:w="1276" w:type="dxa"/>
            <w:tcBorders>
              <w:top w:val="nil"/>
              <w:left w:val="nil"/>
              <w:bottom w:val="single" w:sz="8" w:space="0" w:color="auto"/>
              <w:right w:val="single" w:sz="8" w:space="0" w:color="auto"/>
            </w:tcBorders>
            <w:shd w:val="clear" w:color="auto" w:fill="auto"/>
            <w:vAlign w:val="center"/>
            <w:hideMark/>
          </w:tcPr>
          <w:p w14:paraId="4A0E3D08" w14:textId="77777777" w:rsidR="00AC33E0" w:rsidRPr="00846C6D" w:rsidRDefault="00AC33E0" w:rsidP="00AC33E0">
            <w:pPr>
              <w:autoSpaceDE/>
              <w:autoSpaceDN/>
              <w:adjustRightInd/>
              <w:spacing w:after="0"/>
              <w:jc w:val="right"/>
              <w:rPr>
                <w:rFonts w:eastAsia="Times New Roman" w:cs="Arial"/>
                <w:lang w:eastAsia="en-GB"/>
              </w:rPr>
            </w:pPr>
            <w:r w:rsidRPr="00846C6D">
              <w:rPr>
                <w:rFonts w:eastAsia="Times New Roman" w:cs="Arial"/>
                <w:lang w:eastAsia="en-GB"/>
              </w:rPr>
              <w:t>0.000</w:t>
            </w:r>
          </w:p>
        </w:tc>
      </w:tr>
      <w:tr w:rsidR="0093099B" w14:paraId="56A38341" w14:textId="77777777" w:rsidTr="00AC33E0">
        <w:trPr>
          <w:trHeight w:val="330"/>
        </w:trPr>
        <w:tc>
          <w:tcPr>
            <w:tcW w:w="5377" w:type="dxa"/>
            <w:tcBorders>
              <w:top w:val="nil"/>
              <w:left w:val="single" w:sz="8" w:space="0" w:color="auto"/>
              <w:bottom w:val="single" w:sz="8" w:space="0" w:color="auto"/>
              <w:right w:val="single" w:sz="8" w:space="0" w:color="auto"/>
            </w:tcBorders>
            <w:shd w:val="clear" w:color="000000" w:fill="BFBFBF"/>
            <w:vAlign w:val="center"/>
            <w:hideMark/>
          </w:tcPr>
          <w:p w14:paraId="31878372" w14:textId="77777777" w:rsidR="00AC33E0" w:rsidRPr="00846C6D" w:rsidRDefault="00AC33E0" w:rsidP="00AC33E0">
            <w:pPr>
              <w:autoSpaceDE/>
              <w:autoSpaceDN/>
              <w:adjustRightInd/>
              <w:spacing w:after="0"/>
              <w:jc w:val="left"/>
              <w:rPr>
                <w:rFonts w:eastAsia="Times New Roman" w:cs="Arial"/>
                <w:b/>
                <w:bCs/>
                <w:lang w:eastAsia="en-GB"/>
              </w:rPr>
            </w:pPr>
            <w:r w:rsidRPr="00846C6D">
              <w:rPr>
                <w:rFonts w:eastAsia="Times New Roman" w:cs="Arial"/>
                <w:b/>
                <w:bCs/>
                <w:lang w:eastAsia="en-GB"/>
              </w:rPr>
              <w:t>Closing balance</w:t>
            </w:r>
          </w:p>
        </w:tc>
        <w:tc>
          <w:tcPr>
            <w:tcW w:w="1276" w:type="dxa"/>
            <w:tcBorders>
              <w:top w:val="nil"/>
              <w:left w:val="nil"/>
              <w:bottom w:val="single" w:sz="8" w:space="0" w:color="auto"/>
              <w:right w:val="single" w:sz="8" w:space="0" w:color="auto"/>
            </w:tcBorders>
            <w:shd w:val="clear" w:color="000000" w:fill="BFBFBF"/>
            <w:vAlign w:val="center"/>
            <w:hideMark/>
          </w:tcPr>
          <w:p w14:paraId="36CA807C"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94.065</w:t>
            </w:r>
          </w:p>
        </w:tc>
        <w:tc>
          <w:tcPr>
            <w:tcW w:w="1275" w:type="dxa"/>
            <w:tcBorders>
              <w:top w:val="nil"/>
              <w:left w:val="nil"/>
              <w:bottom w:val="single" w:sz="8" w:space="0" w:color="auto"/>
              <w:right w:val="single" w:sz="8" w:space="0" w:color="auto"/>
            </w:tcBorders>
            <w:shd w:val="clear" w:color="000000" w:fill="BFBFBF"/>
            <w:vAlign w:val="center"/>
            <w:hideMark/>
          </w:tcPr>
          <w:p w14:paraId="11AFE73F"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33.230</w:t>
            </w:r>
          </w:p>
        </w:tc>
        <w:tc>
          <w:tcPr>
            <w:tcW w:w="1276" w:type="dxa"/>
            <w:tcBorders>
              <w:top w:val="nil"/>
              <w:left w:val="nil"/>
              <w:bottom w:val="single" w:sz="8" w:space="0" w:color="auto"/>
              <w:right w:val="single" w:sz="8" w:space="0" w:color="auto"/>
            </w:tcBorders>
            <w:shd w:val="clear" w:color="000000" w:fill="BFBFBF"/>
            <w:vAlign w:val="center"/>
            <w:hideMark/>
          </w:tcPr>
          <w:p w14:paraId="24471954" w14:textId="77777777" w:rsidR="00AC33E0" w:rsidRPr="00846C6D" w:rsidRDefault="00AC33E0" w:rsidP="00AC33E0">
            <w:pPr>
              <w:autoSpaceDE/>
              <w:autoSpaceDN/>
              <w:adjustRightInd/>
              <w:spacing w:after="0"/>
              <w:jc w:val="right"/>
              <w:rPr>
                <w:rFonts w:eastAsia="Times New Roman" w:cs="Arial"/>
                <w:b/>
                <w:bCs/>
                <w:lang w:eastAsia="en-GB"/>
              </w:rPr>
            </w:pPr>
            <w:r w:rsidRPr="00846C6D">
              <w:rPr>
                <w:rFonts w:eastAsia="Times New Roman" w:cs="Arial"/>
                <w:b/>
                <w:bCs/>
                <w:lang w:eastAsia="en-GB"/>
              </w:rPr>
              <w:t>-47.141</w:t>
            </w:r>
          </w:p>
        </w:tc>
      </w:tr>
    </w:tbl>
    <w:p w14:paraId="59EF495A" w14:textId="77777777" w:rsidR="00AC33E0" w:rsidRDefault="00AC33E0" w:rsidP="00AC33E0">
      <w:pPr>
        <w:tabs>
          <w:tab w:val="left" w:pos="567"/>
          <w:tab w:val="left" w:pos="1134"/>
        </w:tabs>
        <w:spacing w:after="0"/>
        <w:ind w:left="142"/>
        <w:rPr>
          <w:rFonts w:cs="Arial"/>
          <w:b/>
          <w:i/>
          <w:u w:val="single"/>
        </w:rPr>
      </w:pPr>
    </w:p>
    <w:p w14:paraId="4BDDDB62" w14:textId="77777777" w:rsidR="00AC33E0" w:rsidRDefault="00AC33E0" w:rsidP="00AC33E0">
      <w:pPr>
        <w:tabs>
          <w:tab w:val="left" w:pos="567"/>
          <w:tab w:val="left" w:pos="1134"/>
        </w:tabs>
        <w:spacing w:after="0"/>
        <w:ind w:left="142"/>
        <w:rPr>
          <w:rFonts w:cs="Arial"/>
          <w:b/>
          <w:i/>
          <w:u w:val="single"/>
        </w:rPr>
      </w:pPr>
    </w:p>
    <w:p w14:paraId="193628B4" w14:textId="77777777" w:rsidR="00AC33E0" w:rsidRDefault="00AC33E0" w:rsidP="00AC33E0">
      <w:pPr>
        <w:tabs>
          <w:tab w:val="left" w:pos="567"/>
          <w:tab w:val="left" w:pos="1134"/>
        </w:tabs>
        <w:spacing w:after="0"/>
        <w:ind w:left="142"/>
        <w:rPr>
          <w:rFonts w:cs="Arial"/>
          <w:b/>
          <w:i/>
          <w:u w:val="single"/>
        </w:rPr>
      </w:pPr>
      <w:r>
        <w:rPr>
          <w:rFonts w:cs="Arial"/>
          <w:b/>
          <w:i/>
          <w:noProof/>
          <w:u w:val="single"/>
          <w:lang w:eastAsia="en-GB"/>
        </w:rPr>
        <w:drawing>
          <wp:inline distT="0" distB="0" distL="0" distR="0" wp14:anchorId="3FAF110A" wp14:editId="3A2D8679">
            <wp:extent cx="5996763" cy="360470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31512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06791" cy="3610730"/>
                    </a:xfrm>
                    <a:prstGeom prst="rect">
                      <a:avLst/>
                    </a:prstGeom>
                    <a:noFill/>
                  </pic:spPr>
                </pic:pic>
              </a:graphicData>
            </a:graphic>
          </wp:inline>
        </w:drawing>
      </w:r>
    </w:p>
    <w:p w14:paraId="4DC43CA9" w14:textId="77777777" w:rsidR="00AC33E0" w:rsidRDefault="00AC33E0" w:rsidP="00AC33E0">
      <w:pPr>
        <w:tabs>
          <w:tab w:val="left" w:pos="567"/>
          <w:tab w:val="left" w:pos="1134"/>
        </w:tabs>
        <w:spacing w:after="0"/>
        <w:ind w:left="142"/>
        <w:rPr>
          <w:rFonts w:cs="Arial"/>
          <w:b/>
          <w:i/>
          <w:u w:val="single"/>
        </w:rPr>
      </w:pPr>
    </w:p>
    <w:p w14:paraId="7C57ECDE" w14:textId="77777777" w:rsidR="00AC33E0" w:rsidRDefault="00AC33E0" w:rsidP="00AC33E0">
      <w:pPr>
        <w:tabs>
          <w:tab w:val="left" w:pos="567"/>
          <w:tab w:val="left" w:pos="1134"/>
        </w:tabs>
        <w:spacing w:after="0"/>
        <w:ind w:left="142"/>
        <w:rPr>
          <w:rFonts w:cs="Arial"/>
          <w:b/>
          <w:i/>
          <w:u w:val="single"/>
        </w:rPr>
      </w:pPr>
    </w:p>
    <w:p w14:paraId="5426F9CE" w14:textId="77777777" w:rsidR="00AC33E0" w:rsidRPr="00846C6D" w:rsidRDefault="00AC33E0" w:rsidP="00AC33E0">
      <w:pPr>
        <w:tabs>
          <w:tab w:val="left" w:pos="567"/>
          <w:tab w:val="left" w:pos="1134"/>
        </w:tabs>
        <w:spacing w:after="0"/>
        <w:ind w:left="142"/>
        <w:rPr>
          <w:rFonts w:cs="Arial"/>
          <w:b/>
          <w:i/>
          <w:u w:val="single"/>
        </w:rPr>
      </w:pPr>
      <w:r>
        <w:rPr>
          <w:rFonts w:cs="Arial"/>
          <w:b/>
          <w:i/>
          <w:noProof/>
          <w:u w:val="single"/>
          <w:lang w:eastAsia="en-GB"/>
        </w:rPr>
        <w:lastRenderedPageBreak/>
        <w:drawing>
          <wp:inline distT="0" distB="0" distL="0" distR="0" wp14:anchorId="7F8CA1A0" wp14:editId="512176E1">
            <wp:extent cx="5773480" cy="3470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401454"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85758" cy="3477865"/>
                    </a:xfrm>
                    <a:prstGeom prst="rect">
                      <a:avLst/>
                    </a:prstGeom>
                    <a:noFill/>
                  </pic:spPr>
                </pic:pic>
              </a:graphicData>
            </a:graphic>
          </wp:inline>
        </w:drawing>
      </w:r>
    </w:p>
    <w:p w14:paraId="27FE43DD" w14:textId="5B32848D" w:rsidR="00612798" w:rsidRDefault="00612798" w:rsidP="004177E4">
      <w:pPr>
        <w:tabs>
          <w:tab w:val="left" w:pos="567"/>
          <w:tab w:val="left" w:pos="1134"/>
        </w:tabs>
        <w:spacing w:after="0"/>
        <w:rPr>
          <w:rFonts w:cs="Arial"/>
        </w:rPr>
      </w:pPr>
    </w:p>
    <w:p w14:paraId="4EAE425C" w14:textId="0FB9F98D" w:rsidR="00612798" w:rsidRDefault="00612798" w:rsidP="00AC33E0">
      <w:pPr>
        <w:tabs>
          <w:tab w:val="left" w:pos="567"/>
          <w:tab w:val="left" w:pos="1134"/>
        </w:tabs>
        <w:spacing w:after="0"/>
        <w:ind w:left="142"/>
        <w:rPr>
          <w:rFonts w:cs="Arial"/>
        </w:rPr>
      </w:pPr>
      <w:r>
        <w:rPr>
          <w:rFonts w:cs="Arial"/>
        </w:rPr>
        <w:t xml:space="preserve">The scenarios presented clearly demonstrate the significant financial impact resulting from changes to the assumptions included within the MTFS.  In all cases however, the council has sufficient reserves to support the gap through 2021/22 </w:t>
      </w:r>
      <w:r w:rsidR="009E1406">
        <w:rPr>
          <w:rFonts w:cs="Arial"/>
        </w:rPr>
        <w:t xml:space="preserve">but only partway </w:t>
      </w:r>
      <w:r>
        <w:rPr>
          <w:rFonts w:cs="Arial"/>
        </w:rPr>
        <w:t>into 2022/23</w:t>
      </w:r>
      <w:r w:rsidR="009E1406">
        <w:rPr>
          <w:rFonts w:cs="Arial"/>
        </w:rPr>
        <w:t xml:space="preserve"> for two of the scenarios</w:t>
      </w:r>
      <w:r>
        <w:rPr>
          <w:rFonts w:cs="Arial"/>
        </w:rPr>
        <w:t xml:space="preserve">.  Scenario A represents a more positive position than assumed within the MTFS but a structural deficit would still remain and reinforces the importance of addressing the underlying cost drivers within the council to secure financial sustainability moving forward.  </w:t>
      </w:r>
    </w:p>
    <w:p w14:paraId="178986B1" w14:textId="77777777" w:rsidR="00AC33E0" w:rsidRDefault="00AC33E0" w:rsidP="00AC33E0">
      <w:pPr>
        <w:tabs>
          <w:tab w:val="left" w:pos="567"/>
          <w:tab w:val="left" w:pos="1134"/>
        </w:tabs>
        <w:spacing w:after="0"/>
        <w:ind w:left="142"/>
        <w:rPr>
          <w:rFonts w:cs="Arial"/>
        </w:rPr>
      </w:pPr>
    </w:p>
    <w:p w14:paraId="1200F232" w14:textId="77777777" w:rsidR="00AC33E0" w:rsidRDefault="00AC33E0" w:rsidP="00AC33E0">
      <w:pPr>
        <w:tabs>
          <w:tab w:val="left" w:pos="567"/>
          <w:tab w:val="left" w:pos="1134"/>
        </w:tabs>
        <w:spacing w:after="0"/>
        <w:ind w:left="142"/>
        <w:rPr>
          <w:rFonts w:cs="Arial"/>
        </w:rPr>
      </w:pPr>
      <w:r>
        <w:rPr>
          <w:rFonts w:cs="Arial"/>
        </w:rPr>
        <w:t xml:space="preserve">In addition, the MTFS contains assumptions across services for funding growth, demand, inflation and pay levels. The table below shows the impact of and increase or decrease of 1% over these key elements of the projected budget requirement. </w:t>
      </w:r>
    </w:p>
    <w:p w14:paraId="49581CFD" w14:textId="77777777" w:rsidR="00AC33E0" w:rsidRDefault="00AC33E0" w:rsidP="00AC33E0">
      <w:pPr>
        <w:tabs>
          <w:tab w:val="left" w:pos="567"/>
          <w:tab w:val="left" w:pos="1134"/>
        </w:tabs>
        <w:spacing w:after="0"/>
        <w:ind w:left="142"/>
        <w:rPr>
          <w:rFonts w:cs="Arial"/>
        </w:rPr>
      </w:pPr>
    </w:p>
    <w:tbl>
      <w:tblPr>
        <w:tblStyle w:val="TableGrid"/>
        <w:tblW w:w="0" w:type="auto"/>
        <w:tblLook w:val="04A0" w:firstRow="1" w:lastRow="0" w:firstColumn="1" w:lastColumn="0" w:noHBand="0" w:noVBand="1"/>
      </w:tblPr>
      <w:tblGrid>
        <w:gridCol w:w="5948"/>
        <w:gridCol w:w="3068"/>
      </w:tblGrid>
      <w:tr w:rsidR="0093099B" w14:paraId="4E078974" w14:textId="77777777" w:rsidTr="00AC33E0">
        <w:tc>
          <w:tcPr>
            <w:tcW w:w="5948" w:type="dxa"/>
          </w:tcPr>
          <w:p w14:paraId="545CF1EC" w14:textId="77777777" w:rsidR="00AC33E0" w:rsidRPr="001371ED" w:rsidRDefault="00AC33E0" w:rsidP="00AC33E0">
            <w:pPr>
              <w:rPr>
                <w:rFonts w:cs="Arial"/>
                <w:b/>
              </w:rPr>
            </w:pPr>
          </w:p>
        </w:tc>
        <w:tc>
          <w:tcPr>
            <w:tcW w:w="3068" w:type="dxa"/>
          </w:tcPr>
          <w:p w14:paraId="0CB9C6AD" w14:textId="77777777" w:rsidR="00AC33E0" w:rsidRPr="001371ED" w:rsidRDefault="00AC33E0" w:rsidP="00AC33E0">
            <w:pPr>
              <w:jc w:val="center"/>
              <w:rPr>
                <w:rFonts w:cs="Arial"/>
              </w:rPr>
            </w:pPr>
            <w:r w:rsidRPr="001371ED">
              <w:rPr>
                <w:rFonts w:cs="Arial"/>
              </w:rPr>
              <w:t>Potential Full-Year Impact (£m)</w:t>
            </w:r>
          </w:p>
        </w:tc>
      </w:tr>
      <w:tr w:rsidR="0093099B" w14:paraId="1F8C7E0B" w14:textId="77777777" w:rsidTr="00AC33E0">
        <w:tc>
          <w:tcPr>
            <w:tcW w:w="5948" w:type="dxa"/>
          </w:tcPr>
          <w:p w14:paraId="1231003C" w14:textId="77777777" w:rsidR="00AC33E0" w:rsidRPr="001371ED" w:rsidRDefault="00AC33E0" w:rsidP="00AC33E0">
            <w:pPr>
              <w:rPr>
                <w:rFonts w:cs="Arial"/>
              </w:rPr>
            </w:pPr>
            <w:r w:rsidRPr="001371ED">
              <w:rPr>
                <w:rFonts w:cs="Arial"/>
              </w:rPr>
              <w:t xml:space="preserve">Funding </w:t>
            </w:r>
            <w:r>
              <w:rPr>
                <w:rFonts w:cs="Arial"/>
              </w:rPr>
              <w:t xml:space="preserve">- Council Tax </w:t>
            </w:r>
            <w:r w:rsidRPr="001371ED">
              <w:rPr>
                <w:rFonts w:cs="Arial"/>
              </w:rPr>
              <w:t>(1%)</w:t>
            </w:r>
          </w:p>
        </w:tc>
        <w:tc>
          <w:tcPr>
            <w:tcW w:w="3068" w:type="dxa"/>
          </w:tcPr>
          <w:p w14:paraId="7CE2B025" w14:textId="77777777" w:rsidR="00AC33E0" w:rsidRPr="001371ED" w:rsidRDefault="00AC33E0" w:rsidP="00AC33E0">
            <w:pPr>
              <w:jc w:val="right"/>
              <w:rPr>
                <w:rFonts w:cs="Arial"/>
              </w:rPr>
            </w:pPr>
            <w:r w:rsidRPr="001371ED">
              <w:rPr>
                <w:rFonts w:cs="Arial"/>
              </w:rPr>
              <w:t xml:space="preserve"> </w:t>
            </w:r>
            <w:r>
              <w:rPr>
                <w:rFonts w:cs="Arial"/>
              </w:rPr>
              <w:t>+/- 5.123</w:t>
            </w:r>
          </w:p>
        </w:tc>
      </w:tr>
      <w:tr w:rsidR="0093099B" w14:paraId="3153FE5A" w14:textId="77777777" w:rsidTr="00AC33E0">
        <w:tc>
          <w:tcPr>
            <w:tcW w:w="5948" w:type="dxa"/>
          </w:tcPr>
          <w:p w14:paraId="6BCC368C" w14:textId="77777777" w:rsidR="00AC33E0" w:rsidRPr="001371ED" w:rsidRDefault="00AC33E0" w:rsidP="00AC33E0">
            <w:pPr>
              <w:rPr>
                <w:rFonts w:cs="Arial"/>
              </w:rPr>
            </w:pPr>
            <w:r w:rsidRPr="001371ED">
              <w:rPr>
                <w:rFonts w:cs="Arial"/>
              </w:rPr>
              <w:t>Pay (1%)</w:t>
            </w:r>
          </w:p>
        </w:tc>
        <w:tc>
          <w:tcPr>
            <w:tcW w:w="3068" w:type="dxa"/>
          </w:tcPr>
          <w:p w14:paraId="14558ECD" w14:textId="7BA08E76" w:rsidR="00AC33E0" w:rsidRPr="001371ED" w:rsidRDefault="00AC33E0" w:rsidP="009E1406">
            <w:pPr>
              <w:jc w:val="right"/>
              <w:rPr>
                <w:rFonts w:cs="Arial"/>
              </w:rPr>
            </w:pPr>
            <w:r>
              <w:rPr>
                <w:rFonts w:cs="Arial"/>
              </w:rPr>
              <w:t xml:space="preserve">+/- </w:t>
            </w:r>
            <w:r w:rsidR="009E1406">
              <w:rPr>
                <w:rFonts w:cs="Arial"/>
              </w:rPr>
              <w:t>3</w:t>
            </w:r>
            <w:r>
              <w:rPr>
                <w:rFonts w:cs="Arial"/>
              </w:rPr>
              <w:t>.</w:t>
            </w:r>
            <w:r w:rsidR="009E1406">
              <w:rPr>
                <w:rFonts w:cs="Arial"/>
              </w:rPr>
              <w:t>500</w:t>
            </w:r>
          </w:p>
        </w:tc>
      </w:tr>
      <w:tr w:rsidR="0093099B" w14:paraId="4F5113B0" w14:textId="77777777" w:rsidTr="00AC33E0">
        <w:tc>
          <w:tcPr>
            <w:tcW w:w="5948" w:type="dxa"/>
          </w:tcPr>
          <w:p w14:paraId="7E519F27" w14:textId="77777777" w:rsidR="00AC33E0" w:rsidRPr="001371ED" w:rsidRDefault="00AC33E0" w:rsidP="00AC33E0">
            <w:pPr>
              <w:rPr>
                <w:rFonts w:cs="Arial"/>
              </w:rPr>
            </w:pPr>
            <w:r w:rsidRPr="001371ED">
              <w:rPr>
                <w:rFonts w:cs="Arial"/>
              </w:rPr>
              <w:t>Price Inflation (1%)</w:t>
            </w:r>
          </w:p>
        </w:tc>
        <w:tc>
          <w:tcPr>
            <w:tcW w:w="3068" w:type="dxa"/>
          </w:tcPr>
          <w:p w14:paraId="1C53A0EB" w14:textId="77777777" w:rsidR="00AC33E0" w:rsidRPr="001371ED" w:rsidRDefault="00AC33E0" w:rsidP="00AC33E0">
            <w:pPr>
              <w:jc w:val="right"/>
              <w:rPr>
                <w:rFonts w:cs="Arial"/>
              </w:rPr>
            </w:pPr>
            <w:r>
              <w:rPr>
                <w:rFonts w:cs="Arial"/>
              </w:rPr>
              <w:t>+/- 6.189</w:t>
            </w:r>
          </w:p>
        </w:tc>
      </w:tr>
      <w:tr w:rsidR="0093099B" w14:paraId="5543F1D7" w14:textId="77777777" w:rsidTr="00AC33E0">
        <w:tc>
          <w:tcPr>
            <w:tcW w:w="5948" w:type="dxa"/>
          </w:tcPr>
          <w:p w14:paraId="746D293E" w14:textId="77777777" w:rsidR="00AC33E0" w:rsidRPr="001371ED" w:rsidRDefault="00AC33E0" w:rsidP="00AC33E0">
            <w:pPr>
              <w:rPr>
                <w:rFonts w:cs="Arial"/>
              </w:rPr>
            </w:pPr>
            <w:r w:rsidRPr="001371ED">
              <w:rPr>
                <w:rFonts w:cs="Arial"/>
              </w:rPr>
              <w:t>Demand (1%)</w:t>
            </w:r>
          </w:p>
        </w:tc>
        <w:tc>
          <w:tcPr>
            <w:tcW w:w="3068" w:type="dxa"/>
          </w:tcPr>
          <w:p w14:paraId="1AD4155B" w14:textId="77777777" w:rsidR="00AC33E0" w:rsidRPr="001371ED" w:rsidRDefault="00AC33E0" w:rsidP="00AC33E0">
            <w:pPr>
              <w:jc w:val="right"/>
              <w:rPr>
                <w:rFonts w:cs="Arial"/>
              </w:rPr>
            </w:pPr>
            <w:r>
              <w:rPr>
                <w:rFonts w:cs="Arial"/>
              </w:rPr>
              <w:t>+/- 5.968</w:t>
            </w:r>
          </w:p>
        </w:tc>
      </w:tr>
    </w:tbl>
    <w:p w14:paraId="2AA19E46" w14:textId="77777777" w:rsidR="00AC33E0" w:rsidRPr="00960D4F" w:rsidRDefault="00AC33E0" w:rsidP="00AC33E0">
      <w:pPr>
        <w:tabs>
          <w:tab w:val="left" w:pos="567"/>
          <w:tab w:val="left" w:pos="1134"/>
        </w:tabs>
        <w:spacing w:after="0"/>
        <w:rPr>
          <w:rFonts w:cs="Arial"/>
        </w:rPr>
      </w:pPr>
    </w:p>
    <w:p w14:paraId="15419CC1" w14:textId="77777777" w:rsidR="00AC33E0" w:rsidRDefault="00AC33E0" w:rsidP="00AC33E0">
      <w:pPr>
        <w:tabs>
          <w:tab w:val="left" w:pos="567"/>
          <w:tab w:val="left" w:pos="1134"/>
        </w:tabs>
        <w:spacing w:after="0"/>
        <w:ind w:left="142"/>
        <w:rPr>
          <w:rFonts w:cs="Arial"/>
        </w:rPr>
      </w:pPr>
      <w:r w:rsidRPr="00960D4F">
        <w:rPr>
          <w:rFonts w:cs="Arial"/>
        </w:rPr>
        <w:t>This stress testing gives confidence that the council can continue to live within its means for a number of years even in adverse circumstances. This does not however diminish or negate the need to make further savings but does demonstrate that the council continues to have sufficient resilience to deliver them in a measured and structured way.</w:t>
      </w:r>
    </w:p>
    <w:p w14:paraId="112749DE" w14:textId="77777777" w:rsidR="00AC33E0" w:rsidRDefault="00AC33E0" w:rsidP="00AC33E0">
      <w:pPr>
        <w:tabs>
          <w:tab w:val="left" w:pos="567"/>
          <w:tab w:val="left" w:pos="1134"/>
        </w:tabs>
        <w:spacing w:after="0"/>
        <w:rPr>
          <w:rFonts w:cs="Arial"/>
        </w:rPr>
      </w:pPr>
    </w:p>
    <w:p w14:paraId="2B499481" w14:textId="77777777" w:rsidR="00AC33E0" w:rsidRPr="009C69DC" w:rsidRDefault="00AC33E0" w:rsidP="00AC33E0">
      <w:pPr>
        <w:tabs>
          <w:tab w:val="left" w:pos="567"/>
          <w:tab w:val="left" w:pos="1134"/>
        </w:tabs>
        <w:spacing w:after="0"/>
        <w:rPr>
          <w:rFonts w:cs="Arial"/>
          <w:highlight w:val="yellow"/>
        </w:rPr>
      </w:pPr>
      <w:r>
        <w:rPr>
          <w:rFonts w:cs="Arial"/>
        </w:rPr>
        <w:t xml:space="preserve"> </w:t>
      </w:r>
    </w:p>
    <w:sectPr w:rsidR="00AC33E0" w:rsidRPr="009C69DC" w:rsidSect="00AC33E0">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89F3" w14:textId="77777777" w:rsidR="007D0D5E" w:rsidRDefault="007D0D5E">
      <w:pPr>
        <w:spacing w:after="0"/>
      </w:pPr>
      <w:r>
        <w:separator/>
      </w:r>
    </w:p>
  </w:endnote>
  <w:endnote w:type="continuationSeparator" w:id="0">
    <w:p w14:paraId="10F2C853" w14:textId="77777777" w:rsidR="007D0D5E" w:rsidRDefault="007D0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14:paraId="27AA2D05" w14:textId="2156A940" w:rsidR="007D0D5E" w:rsidRDefault="007D0D5E" w:rsidP="00745787">
        <w:pPr>
          <w:pStyle w:val="Footer"/>
          <w:jc w:val="right"/>
        </w:pPr>
        <w:r>
          <w:fldChar w:fldCharType="begin"/>
        </w:r>
        <w:r>
          <w:instrText xml:space="preserve"> PAGE   \* MERGEFORMAT </w:instrText>
        </w:r>
        <w:r>
          <w:fldChar w:fldCharType="separate"/>
        </w:r>
        <w:r w:rsidR="004D5B8D">
          <w:rPr>
            <w:noProof/>
          </w:rPr>
          <w:t>3</w:t>
        </w:r>
        <w:r>
          <w:rPr>
            <w:noProof/>
          </w:rPr>
          <w:fldChar w:fldCharType="end"/>
        </w:r>
      </w:p>
    </w:sdtContent>
  </w:sdt>
  <w:p w14:paraId="468DE9D0" w14:textId="77777777" w:rsidR="007D0D5E" w:rsidRDefault="007D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D997" w14:textId="77777777" w:rsidR="007D0D5E" w:rsidRDefault="007D0D5E">
      <w:pPr>
        <w:spacing w:after="0"/>
      </w:pPr>
      <w:r>
        <w:separator/>
      </w:r>
    </w:p>
  </w:footnote>
  <w:footnote w:type="continuationSeparator" w:id="0">
    <w:p w14:paraId="249DA89A" w14:textId="77777777" w:rsidR="007D0D5E" w:rsidRDefault="007D0D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4BA7" w14:textId="5A3DA0CB" w:rsidR="007D0D5E" w:rsidRDefault="004D5B8D">
    <w:pPr>
      <w:pStyle w:val="Header"/>
    </w:pPr>
    <w:sdt>
      <w:sdtPr>
        <w:id w:val="-2063089987"/>
        <w:docPartObj>
          <w:docPartGallery w:val="Page Numbers (Top of Page)"/>
          <w:docPartUnique/>
        </w:docPartObj>
      </w:sdtPr>
      <w:sdtEndPr>
        <w:rPr>
          <w:noProof/>
        </w:rPr>
      </w:sdtEndPr>
      <w:sdtContent>
        <w:r w:rsidR="007D0D5E">
          <w:fldChar w:fldCharType="begin"/>
        </w:r>
        <w:r w:rsidR="007D0D5E">
          <w:instrText xml:space="preserve"> PAGE   \* MERGEFORMAT </w:instrText>
        </w:r>
        <w:r w:rsidR="007D0D5E">
          <w:fldChar w:fldCharType="separate"/>
        </w:r>
        <w:r>
          <w:rPr>
            <w:noProof/>
          </w:rPr>
          <w:t>3</w:t>
        </w:r>
        <w:r w:rsidR="007D0D5E">
          <w:rPr>
            <w:noProof/>
          </w:rPr>
          <w:fldChar w:fldCharType="end"/>
        </w:r>
      </w:sdtContent>
    </w:sdt>
  </w:p>
  <w:p w14:paraId="2AC03F94" w14:textId="77777777" w:rsidR="007D0D5E" w:rsidRDefault="007D0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4BB0" w14:textId="77777777" w:rsidR="007D0D5E" w:rsidRDefault="007D0D5E" w:rsidP="00AC33E0">
    <w:pPr>
      <w:pStyle w:val="Header"/>
    </w:pPr>
    <w:r>
      <w:rPr>
        <w:noProof/>
        <w:lang w:eastAsia="en-GB"/>
      </w:rPr>
      <w:drawing>
        <wp:anchor distT="0" distB="0" distL="114300" distR="114300" simplePos="0" relativeHeight="251658240" behindDoc="1" locked="0" layoutInCell="1" allowOverlap="1" wp14:anchorId="240623A7" wp14:editId="1A92884D">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7CD8E028">
      <w:start w:val="1"/>
      <w:numFmt w:val="bullet"/>
      <w:lvlText w:val="o"/>
      <w:lvlJc w:val="left"/>
      <w:pPr>
        <w:ind w:left="1222" w:hanging="360"/>
      </w:pPr>
      <w:rPr>
        <w:rFonts w:ascii="Courier New" w:hAnsi="Courier New" w:cs="Courier New" w:hint="default"/>
      </w:rPr>
    </w:lvl>
    <w:lvl w:ilvl="1" w:tplc="EEAA7CA8" w:tentative="1">
      <w:start w:val="1"/>
      <w:numFmt w:val="bullet"/>
      <w:lvlText w:val="o"/>
      <w:lvlJc w:val="left"/>
      <w:pPr>
        <w:ind w:left="1942" w:hanging="360"/>
      </w:pPr>
      <w:rPr>
        <w:rFonts w:ascii="Courier New" w:hAnsi="Courier New" w:cs="Courier New" w:hint="default"/>
      </w:rPr>
    </w:lvl>
    <w:lvl w:ilvl="2" w:tplc="A22AB420" w:tentative="1">
      <w:start w:val="1"/>
      <w:numFmt w:val="bullet"/>
      <w:lvlText w:val=""/>
      <w:lvlJc w:val="left"/>
      <w:pPr>
        <w:ind w:left="2662" w:hanging="360"/>
      </w:pPr>
      <w:rPr>
        <w:rFonts w:ascii="Wingdings" w:hAnsi="Wingdings" w:hint="default"/>
      </w:rPr>
    </w:lvl>
    <w:lvl w:ilvl="3" w:tplc="D23E1A40" w:tentative="1">
      <w:start w:val="1"/>
      <w:numFmt w:val="bullet"/>
      <w:lvlText w:val=""/>
      <w:lvlJc w:val="left"/>
      <w:pPr>
        <w:ind w:left="3382" w:hanging="360"/>
      </w:pPr>
      <w:rPr>
        <w:rFonts w:ascii="Symbol" w:hAnsi="Symbol" w:hint="default"/>
      </w:rPr>
    </w:lvl>
    <w:lvl w:ilvl="4" w:tplc="65748592" w:tentative="1">
      <w:start w:val="1"/>
      <w:numFmt w:val="bullet"/>
      <w:lvlText w:val="o"/>
      <w:lvlJc w:val="left"/>
      <w:pPr>
        <w:ind w:left="4102" w:hanging="360"/>
      </w:pPr>
      <w:rPr>
        <w:rFonts w:ascii="Courier New" w:hAnsi="Courier New" w:cs="Courier New" w:hint="default"/>
      </w:rPr>
    </w:lvl>
    <w:lvl w:ilvl="5" w:tplc="BABAE0C2" w:tentative="1">
      <w:start w:val="1"/>
      <w:numFmt w:val="bullet"/>
      <w:lvlText w:val=""/>
      <w:lvlJc w:val="left"/>
      <w:pPr>
        <w:ind w:left="4822" w:hanging="360"/>
      </w:pPr>
      <w:rPr>
        <w:rFonts w:ascii="Wingdings" w:hAnsi="Wingdings" w:hint="default"/>
      </w:rPr>
    </w:lvl>
    <w:lvl w:ilvl="6" w:tplc="FB966796" w:tentative="1">
      <w:start w:val="1"/>
      <w:numFmt w:val="bullet"/>
      <w:lvlText w:val=""/>
      <w:lvlJc w:val="left"/>
      <w:pPr>
        <w:ind w:left="5542" w:hanging="360"/>
      </w:pPr>
      <w:rPr>
        <w:rFonts w:ascii="Symbol" w:hAnsi="Symbol" w:hint="default"/>
      </w:rPr>
    </w:lvl>
    <w:lvl w:ilvl="7" w:tplc="5D145D74" w:tentative="1">
      <w:start w:val="1"/>
      <w:numFmt w:val="bullet"/>
      <w:lvlText w:val="o"/>
      <w:lvlJc w:val="left"/>
      <w:pPr>
        <w:ind w:left="6262" w:hanging="360"/>
      </w:pPr>
      <w:rPr>
        <w:rFonts w:ascii="Courier New" w:hAnsi="Courier New" w:cs="Courier New" w:hint="default"/>
      </w:rPr>
    </w:lvl>
    <w:lvl w:ilvl="8" w:tplc="BBD8D8C6"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AF4DEE"/>
    <w:multiLevelType w:val="hybridMultilevel"/>
    <w:tmpl w:val="D54672F6"/>
    <w:lvl w:ilvl="0" w:tplc="F5E879C0">
      <w:start w:val="1"/>
      <w:numFmt w:val="bullet"/>
      <w:lvlText w:val=""/>
      <w:lvlJc w:val="left"/>
      <w:pPr>
        <w:ind w:left="720" w:hanging="360"/>
      </w:pPr>
      <w:rPr>
        <w:rFonts w:ascii="Symbol" w:hAnsi="Symbol" w:hint="default"/>
      </w:rPr>
    </w:lvl>
    <w:lvl w:ilvl="1" w:tplc="2F0E87BE" w:tentative="1">
      <w:start w:val="1"/>
      <w:numFmt w:val="bullet"/>
      <w:lvlText w:val="o"/>
      <w:lvlJc w:val="left"/>
      <w:pPr>
        <w:ind w:left="1440" w:hanging="360"/>
      </w:pPr>
      <w:rPr>
        <w:rFonts w:ascii="Courier New" w:hAnsi="Courier New" w:cs="Courier New" w:hint="default"/>
      </w:rPr>
    </w:lvl>
    <w:lvl w:ilvl="2" w:tplc="11D680C0" w:tentative="1">
      <w:start w:val="1"/>
      <w:numFmt w:val="bullet"/>
      <w:lvlText w:val=""/>
      <w:lvlJc w:val="left"/>
      <w:pPr>
        <w:ind w:left="2160" w:hanging="360"/>
      </w:pPr>
      <w:rPr>
        <w:rFonts w:ascii="Wingdings" w:hAnsi="Wingdings" w:hint="default"/>
      </w:rPr>
    </w:lvl>
    <w:lvl w:ilvl="3" w:tplc="CFE401AA" w:tentative="1">
      <w:start w:val="1"/>
      <w:numFmt w:val="bullet"/>
      <w:lvlText w:val=""/>
      <w:lvlJc w:val="left"/>
      <w:pPr>
        <w:ind w:left="2880" w:hanging="360"/>
      </w:pPr>
      <w:rPr>
        <w:rFonts w:ascii="Symbol" w:hAnsi="Symbol" w:hint="default"/>
      </w:rPr>
    </w:lvl>
    <w:lvl w:ilvl="4" w:tplc="4F0A9C0A" w:tentative="1">
      <w:start w:val="1"/>
      <w:numFmt w:val="bullet"/>
      <w:lvlText w:val="o"/>
      <w:lvlJc w:val="left"/>
      <w:pPr>
        <w:ind w:left="3600" w:hanging="360"/>
      </w:pPr>
      <w:rPr>
        <w:rFonts w:ascii="Courier New" w:hAnsi="Courier New" w:cs="Courier New" w:hint="default"/>
      </w:rPr>
    </w:lvl>
    <w:lvl w:ilvl="5" w:tplc="D8D2728A" w:tentative="1">
      <w:start w:val="1"/>
      <w:numFmt w:val="bullet"/>
      <w:lvlText w:val=""/>
      <w:lvlJc w:val="left"/>
      <w:pPr>
        <w:ind w:left="4320" w:hanging="360"/>
      </w:pPr>
      <w:rPr>
        <w:rFonts w:ascii="Wingdings" w:hAnsi="Wingdings" w:hint="default"/>
      </w:rPr>
    </w:lvl>
    <w:lvl w:ilvl="6" w:tplc="7D7A3F8C" w:tentative="1">
      <w:start w:val="1"/>
      <w:numFmt w:val="bullet"/>
      <w:lvlText w:val=""/>
      <w:lvlJc w:val="left"/>
      <w:pPr>
        <w:ind w:left="5040" w:hanging="360"/>
      </w:pPr>
      <w:rPr>
        <w:rFonts w:ascii="Symbol" w:hAnsi="Symbol" w:hint="default"/>
      </w:rPr>
    </w:lvl>
    <w:lvl w:ilvl="7" w:tplc="3D22CAA4" w:tentative="1">
      <w:start w:val="1"/>
      <w:numFmt w:val="bullet"/>
      <w:lvlText w:val="o"/>
      <w:lvlJc w:val="left"/>
      <w:pPr>
        <w:ind w:left="5760" w:hanging="360"/>
      </w:pPr>
      <w:rPr>
        <w:rFonts w:ascii="Courier New" w:hAnsi="Courier New" w:cs="Courier New" w:hint="default"/>
      </w:rPr>
    </w:lvl>
    <w:lvl w:ilvl="8" w:tplc="9E744B8E" w:tentative="1">
      <w:start w:val="1"/>
      <w:numFmt w:val="bullet"/>
      <w:lvlText w:val=""/>
      <w:lvlJc w:val="left"/>
      <w:pPr>
        <w:ind w:left="6480" w:hanging="360"/>
      </w:pPr>
      <w:rPr>
        <w:rFonts w:ascii="Wingdings" w:hAnsi="Wingdings" w:hint="default"/>
      </w:rPr>
    </w:lvl>
  </w:abstractNum>
  <w:abstractNum w:abstractNumId="24" w15:restartNumberingAfterBreak="0">
    <w:nsid w:val="2095304B"/>
    <w:multiLevelType w:val="hybridMultilevel"/>
    <w:tmpl w:val="F63C004C"/>
    <w:lvl w:ilvl="0" w:tplc="E3CCBAA2">
      <w:start w:val="1"/>
      <w:numFmt w:val="bullet"/>
      <w:lvlText w:val="o"/>
      <w:lvlJc w:val="left"/>
      <w:pPr>
        <w:ind w:left="501" w:hanging="360"/>
      </w:pPr>
      <w:rPr>
        <w:rFonts w:ascii="Courier New" w:hAnsi="Courier New" w:cs="Courier New" w:hint="default"/>
      </w:rPr>
    </w:lvl>
    <w:lvl w:ilvl="1" w:tplc="54DE1CCC" w:tentative="1">
      <w:start w:val="1"/>
      <w:numFmt w:val="bullet"/>
      <w:lvlText w:val="o"/>
      <w:lvlJc w:val="left"/>
      <w:pPr>
        <w:ind w:left="1440" w:hanging="360"/>
      </w:pPr>
      <w:rPr>
        <w:rFonts w:ascii="Courier New" w:hAnsi="Courier New" w:cs="Courier New" w:hint="default"/>
      </w:rPr>
    </w:lvl>
    <w:lvl w:ilvl="2" w:tplc="1AF0D41E" w:tentative="1">
      <w:start w:val="1"/>
      <w:numFmt w:val="bullet"/>
      <w:lvlText w:val=""/>
      <w:lvlJc w:val="left"/>
      <w:pPr>
        <w:ind w:left="2160" w:hanging="360"/>
      </w:pPr>
      <w:rPr>
        <w:rFonts w:ascii="Wingdings" w:hAnsi="Wingdings" w:hint="default"/>
      </w:rPr>
    </w:lvl>
    <w:lvl w:ilvl="3" w:tplc="FF3C5B6C" w:tentative="1">
      <w:start w:val="1"/>
      <w:numFmt w:val="bullet"/>
      <w:lvlText w:val=""/>
      <w:lvlJc w:val="left"/>
      <w:pPr>
        <w:ind w:left="2880" w:hanging="360"/>
      </w:pPr>
      <w:rPr>
        <w:rFonts w:ascii="Symbol" w:hAnsi="Symbol" w:hint="default"/>
      </w:rPr>
    </w:lvl>
    <w:lvl w:ilvl="4" w:tplc="BBF67ACE" w:tentative="1">
      <w:start w:val="1"/>
      <w:numFmt w:val="bullet"/>
      <w:lvlText w:val="o"/>
      <w:lvlJc w:val="left"/>
      <w:pPr>
        <w:ind w:left="3600" w:hanging="360"/>
      </w:pPr>
      <w:rPr>
        <w:rFonts w:ascii="Courier New" w:hAnsi="Courier New" w:cs="Courier New" w:hint="default"/>
      </w:rPr>
    </w:lvl>
    <w:lvl w:ilvl="5" w:tplc="8BD04C40" w:tentative="1">
      <w:start w:val="1"/>
      <w:numFmt w:val="bullet"/>
      <w:lvlText w:val=""/>
      <w:lvlJc w:val="left"/>
      <w:pPr>
        <w:ind w:left="4320" w:hanging="360"/>
      </w:pPr>
      <w:rPr>
        <w:rFonts w:ascii="Wingdings" w:hAnsi="Wingdings" w:hint="default"/>
      </w:rPr>
    </w:lvl>
    <w:lvl w:ilvl="6" w:tplc="A27ACD1E" w:tentative="1">
      <w:start w:val="1"/>
      <w:numFmt w:val="bullet"/>
      <w:lvlText w:val=""/>
      <w:lvlJc w:val="left"/>
      <w:pPr>
        <w:ind w:left="5040" w:hanging="360"/>
      </w:pPr>
      <w:rPr>
        <w:rFonts w:ascii="Symbol" w:hAnsi="Symbol" w:hint="default"/>
      </w:rPr>
    </w:lvl>
    <w:lvl w:ilvl="7" w:tplc="A1D4E698" w:tentative="1">
      <w:start w:val="1"/>
      <w:numFmt w:val="bullet"/>
      <w:lvlText w:val="o"/>
      <w:lvlJc w:val="left"/>
      <w:pPr>
        <w:ind w:left="5760" w:hanging="360"/>
      </w:pPr>
      <w:rPr>
        <w:rFonts w:ascii="Courier New" w:hAnsi="Courier New" w:cs="Courier New" w:hint="default"/>
      </w:rPr>
    </w:lvl>
    <w:lvl w:ilvl="8" w:tplc="ECD2DD0E" w:tentative="1">
      <w:start w:val="1"/>
      <w:numFmt w:val="bullet"/>
      <w:lvlText w:val=""/>
      <w:lvlJc w:val="left"/>
      <w:pPr>
        <w:ind w:left="6480" w:hanging="360"/>
      </w:pPr>
      <w:rPr>
        <w:rFonts w:ascii="Wingdings" w:hAnsi="Wingdings" w:hint="default"/>
      </w:rPr>
    </w:lvl>
  </w:abstractNum>
  <w:abstractNum w:abstractNumId="25" w15:restartNumberingAfterBreak="0">
    <w:nsid w:val="32DE378D"/>
    <w:multiLevelType w:val="hybridMultilevel"/>
    <w:tmpl w:val="669255CA"/>
    <w:lvl w:ilvl="0" w:tplc="2B26BA84">
      <w:start w:val="1"/>
      <w:numFmt w:val="bullet"/>
      <w:pStyle w:val="Bullet"/>
      <w:lvlText w:val=""/>
      <w:lvlJc w:val="left"/>
      <w:pPr>
        <w:ind w:left="363" w:hanging="360"/>
      </w:pPr>
      <w:rPr>
        <w:rFonts w:ascii="Symbol" w:hAnsi="Symbol" w:hint="default"/>
      </w:rPr>
    </w:lvl>
    <w:lvl w:ilvl="1" w:tplc="F82C4D50">
      <w:start w:val="1"/>
      <w:numFmt w:val="bullet"/>
      <w:pStyle w:val="Bullet-indent"/>
      <w:lvlText w:val="o"/>
      <w:lvlJc w:val="left"/>
      <w:pPr>
        <w:ind w:left="1083" w:hanging="360"/>
      </w:pPr>
      <w:rPr>
        <w:rFonts w:ascii="Courier New" w:hAnsi="Courier New" w:cs="Courier New" w:hint="default"/>
      </w:rPr>
    </w:lvl>
    <w:lvl w:ilvl="2" w:tplc="585C3458" w:tentative="1">
      <w:start w:val="1"/>
      <w:numFmt w:val="bullet"/>
      <w:lvlText w:val=""/>
      <w:lvlJc w:val="left"/>
      <w:pPr>
        <w:ind w:left="1803" w:hanging="360"/>
      </w:pPr>
      <w:rPr>
        <w:rFonts w:ascii="Wingdings" w:hAnsi="Wingdings" w:hint="default"/>
      </w:rPr>
    </w:lvl>
    <w:lvl w:ilvl="3" w:tplc="736EAD86" w:tentative="1">
      <w:start w:val="1"/>
      <w:numFmt w:val="bullet"/>
      <w:lvlText w:val=""/>
      <w:lvlJc w:val="left"/>
      <w:pPr>
        <w:ind w:left="2523" w:hanging="360"/>
      </w:pPr>
      <w:rPr>
        <w:rFonts w:ascii="Symbol" w:hAnsi="Symbol" w:hint="default"/>
      </w:rPr>
    </w:lvl>
    <w:lvl w:ilvl="4" w:tplc="7186C582" w:tentative="1">
      <w:start w:val="1"/>
      <w:numFmt w:val="bullet"/>
      <w:lvlText w:val="o"/>
      <w:lvlJc w:val="left"/>
      <w:pPr>
        <w:ind w:left="3243" w:hanging="360"/>
      </w:pPr>
      <w:rPr>
        <w:rFonts w:ascii="Courier New" w:hAnsi="Courier New" w:cs="Courier New" w:hint="default"/>
      </w:rPr>
    </w:lvl>
    <w:lvl w:ilvl="5" w:tplc="B68ED6AE" w:tentative="1">
      <w:start w:val="1"/>
      <w:numFmt w:val="bullet"/>
      <w:lvlText w:val=""/>
      <w:lvlJc w:val="left"/>
      <w:pPr>
        <w:ind w:left="3963" w:hanging="360"/>
      </w:pPr>
      <w:rPr>
        <w:rFonts w:ascii="Wingdings" w:hAnsi="Wingdings" w:hint="default"/>
      </w:rPr>
    </w:lvl>
    <w:lvl w:ilvl="6" w:tplc="5FCC8542" w:tentative="1">
      <w:start w:val="1"/>
      <w:numFmt w:val="bullet"/>
      <w:lvlText w:val=""/>
      <w:lvlJc w:val="left"/>
      <w:pPr>
        <w:ind w:left="4683" w:hanging="360"/>
      </w:pPr>
      <w:rPr>
        <w:rFonts w:ascii="Symbol" w:hAnsi="Symbol" w:hint="default"/>
      </w:rPr>
    </w:lvl>
    <w:lvl w:ilvl="7" w:tplc="B2C02100" w:tentative="1">
      <w:start w:val="1"/>
      <w:numFmt w:val="bullet"/>
      <w:lvlText w:val="o"/>
      <w:lvlJc w:val="left"/>
      <w:pPr>
        <w:ind w:left="5403" w:hanging="360"/>
      </w:pPr>
      <w:rPr>
        <w:rFonts w:ascii="Courier New" w:hAnsi="Courier New" w:cs="Courier New" w:hint="default"/>
      </w:rPr>
    </w:lvl>
    <w:lvl w:ilvl="8" w:tplc="7AF2FC88" w:tentative="1">
      <w:start w:val="1"/>
      <w:numFmt w:val="bullet"/>
      <w:lvlText w:val=""/>
      <w:lvlJc w:val="left"/>
      <w:pPr>
        <w:ind w:left="6123" w:hanging="360"/>
      </w:pPr>
      <w:rPr>
        <w:rFonts w:ascii="Wingdings" w:hAnsi="Wingdings" w:hint="default"/>
      </w:rPr>
    </w:lvl>
  </w:abstractNum>
  <w:abstractNum w:abstractNumId="26" w15:restartNumberingAfterBreak="0">
    <w:nsid w:val="338E1B06"/>
    <w:multiLevelType w:val="hybridMultilevel"/>
    <w:tmpl w:val="C8C6DC48"/>
    <w:lvl w:ilvl="0" w:tplc="7FFE9A04">
      <w:start w:val="1"/>
      <w:numFmt w:val="bullet"/>
      <w:lvlText w:val=""/>
      <w:lvlJc w:val="left"/>
      <w:pPr>
        <w:ind w:left="720" w:hanging="360"/>
      </w:pPr>
      <w:rPr>
        <w:rFonts w:ascii="Symbol" w:hAnsi="Symbol" w:hint="default"/>
      </w:rPr>
    </w:lvl>
    <w:lvl w:ilvl="1" w:tplc="132E269E" w:tentative="1">
      <w:start w:val="1"/>
      <w:numFmt w:val="bullet"/>
      <w:lvlText w:val="o"/>
      <w:lvlJc w:val="left"/>
      <w:pPr>
        <w:ind w:left="1440" w:hanging="360"/>
      </w:pPr>
      <w:rPr>
        <w:rFonts w:ascii="Courier New" w:hAnsi="Courier New" w:cs="Courier New" w:hint="default"/>
      </w:rPr>
    </w:lvl>
    <w:lvl w:ilvl="2" w:tplc="FB349304" w:tentative="1">
      <w:start w:val="1"/>
      <w:numFmt w:val="bullet"/>
      <w:lvlText w:val=""/>
      <w:lvlJc w:val="left"/>
      <w:pPr>
        <w:ind w:left="2160" w:hanging="360"/>
      </w:pPr>
      <w:rPr>
        <w:rFonts w:ascii="Wingdings" w:hAnsi="Wingdings" w:hint="default"/>
      </w:rPr>
    </w:lvl>
    <w:lvl w:ilvl="3" w:tplc="A75AC436" w:tentative="1">
      <w:start w:val="1"/>
      <w:numFmt w:val="bullet"/>
      <w:lvlText w:val=""/>
      <w:lvlJc w:val="left"/>
      <w:pPr>
        <w:ind w:left="2880" w:hanging="360"/>
      </w:pPr>
      <w:rPr>
        <w:rFonts w:ascii="Symbol" w:hAnsi="Symbol" w:hint="default"/>
      </w:rPr>
    </w:lvl>
    <w:lvl w:ilvl="4" w:tplc="D910B9D2" w:tentative="1">
      <w:start w:val="1"/>
      <w:numFmt w:val="bullet"/>
      <w:lvlText w:val="o"/>
      <w:lvlJc w:val="left"/>
      <w:pPr>
        <w:ind w:left="3600" w:hanging="360"/>
      </w:pPr>
      <w:rPr>
        <w:rFonts w:ascii="Courier New" w:hAnsi="Courier New" w:cs="Courier New" w:hint="default"/>
      </w:rPr>
    </w:lvl>
    <w:lvl w:ilvl="5" w:tplc="243A118C" w:tentative="1">
      <w:start w:val="1"/>
      <w:numFmt w:val="bullet"/>
      <w:lvlText w:val=""/>
      <w:lvlJc w:val="left"/>
      <w:pPr>
        <w:ind w:left="4320" w:hanging="360"/>
      </w:pPr>
      <w:rPr>
        <w:rFonts w:ascii="Wingdings" w:hAnsi="Wingdings" w:hint="default"/>
      </w:rPr>
    </w:lvl>
    <w:lvl w:ilvl="6" w:tplc="63AAE8BE" w:tentative="1">
      <w:start w:val="1"/>
      <w:numFmt w:val="bullet"/>
      <w:lvlText w:val=""/>
      <w:lvlJc w:val="left"/>
      <w:pPr>
        <w:ind w:left="5040" w:hanging="360"/>
      </w:pPr>
      <w:rPr>
        <w:rFonts w:ascii="Symbol" w:hAnsi="Symbol" w:hint="default"/>
      </w:rPr>
    </w:lvl>
    <w:lvl w:ilvl="7" w:tplc="8932E362" w:tentative="1">
      <w:start w:val="1"/>
      <w:numFmt w:val="bullet"/>
      <w:lvlText w:val="o"/>
      <w:lvlJc w:val="left"/>
      <w:pPr>
        <w:ind w:left="5760" w:hanging="360"/>
      </w:pPr>
      <w:rPr>
        <w:rFonts w:ascii="Courier New" w:hAnsi="Courier New" w:cs="Courier New" w:hint="default"/>
      </w:rPr>
    </w:lvl>
    <w:lvl w:ilvl="8" w:tplc="E622423E" w:tentative="1">
      <w:start w:val="1"/>
      <w:numFmt w:val="bullet"/>
      <w:lvlText w:val=""/>
      <w:lvlJc w:val="left"/>
      <w:pPr>
        <w:ind w:left="6480" w:hanging="360"/>
      </w:pPr>
      <w:rPr>
        <w:rFonts w:ascii="Wingdings" w:hAnsi="Wingdings" w:hint="default"/>
      </w:rPr>
    </w:lvl>
  </w:abstractNum>
  <w:abstractNum w:abstractNumId="27" w15:restartNumberingAfterBreak="0">
    <w:nsid w:val="37573839"/>
    <w:multiLevelType w:val="hybridMultilevel"/>
    <w:tmpl w:val="5118811A"/>
    <w:lvl w:ilvl="0" w:tplc="C50281A4">
      <w:start w:val="1"/>
      <w:numFmt w:val="bullet"/>
      <w:lvlText w:val=""/>
      <w:lvlJc w:val="left"/>
      <w:pPr>
        <w:ind w:left="786" w:hanging="360"/>
      </w:pPr>
      <w:rPr>
        <w:rFonts w:ascii="Symbol" w:hAnsi="Symbol" w:hint="default"/>
      </w:rPr>
    </w:lvl>
    <w:lvl w:ilvl="1" w:tplc="F140DE4E" w:tentative="1">
      <w:start w:val="1"/>
      <w:numFmt w:val="bullet"/>
      <w:lvlText w:val="o"/>
      <w:lvlJc w:val="left"/>
      <w:pPr>
        <w:ind w:left="1506" w:hanging="360"/>
      </w:pPr>
      <w:rPr>
        <w:rFonts w:ascii="Courier New" w:hAnsi="Courier New" w:cs="Courier New" w:hint="default"/>
      </w:rPr>
    </w:lvl>
    <w:lvl w:ilvl="2" w:tplc="00FCFDEC" w:tentative="1">
      <w:start w:val="1"/>
      <w:numFmt w:val="bullet"/>
      <w:lvlText w:val=""/>
      <w:lvlJc w:val="left"/>
      <w:pPr>
        <w:ind w:left="2226" w:hanging="360"/>
      </w:pPr>
      <w:rPr>
        <w:rFonts w:ascii="Wingdings" w:hAnsi="Wingdings" w:hint="default"/>
      </w:rPr>
    </w:lvl>
    <w:lvl w:ilvl="3" w:tplc="D2AA4B60" w:tentative="1">
      <w:start w:val="1"/>
      <w:numFmt w:val="bullet"/>
      <w:lvlText w:val=""/>
      <w:lvlJc w:val="left"/>
      <w:pPr>
        <w:ind w:left="2946" w:hanging="360"/>
      </w:pPr>
      <w:rPr>
        <w:rFonts w:ascii="Symbol" w:hAnsi="Symbol" w:hint="default"/>
      </w:rPr>
    </w:lvl>
    <w:lvl w:ilvl="4" w:tplc="31527874" w:tentative="1">
      <w:start w:val="1"/>
      <w:numFmt w:val="bullet"/>
      <w:lvlText w:val="o"/>
      <w:lvlJc w:val="left"/>
      <w:pPr>
        <w:ind w:left="3666" w:hanging="360"/>
      </w:pPr>
      <w:rPr>
        <w:rFonts w:ascii="Courier New" w:hAnsi="Courier New" w:cs="Courier New" w:hint="default"/>
      </w:rPr>
    </w:lvl>
    <w:lvl w:ilvl="5" w:tplc="6BBA37C8" w:tentative="1">
      <w:start w:val="1"/>
      <w:numFmt w:val="bullet"/>
      <w:lvlText w:val=""/>
      <w:lvlJc w:val="left"/>
      <w:pPr>
        <w:ind w:left="4386" w:hanging="360"/>
      </w:pPr>
      <w:rPr>
        <w:rFonts w:ascii="Wingdings" w:hAnsi="Wingdings" w:hint="default"/>
      </w:rPr>
    </w:lvl>
    <w:lvl w:ilvl="6" w:tplc="63481F14" w:tentative="1">
      <w:start w:val="1"/>
      <w:numFmt w:val="bullet"/>
      <w:lvlText w:val=""/>
      <w:lvlJc w:val="left"/>
      <w:pPr>
        <w:ind w:left="5106" w:hanging="360"/>
      </w:pPr>
      <w:rPr>
        <w:rFonts w:ascii="Symbol" w:hAnsi="Symbol" w:hint="default"/>
      </w:rPr>
    </w:lvl>
    <w:lvl w:ilvl="7" w:tplc="925666E4" w:tentative="1">
      <w:start w:val="1"/>
      <w:numFmt w:val="bullet"/>
      <w:lvlText w:val="o"/>
      <w:lvlJc w:val="left"/>
      <w:pPr>
        <w:ind w:left="5826" w:hanging="360"/>
      </w:pPr>
      <w:rPr>
        <w:rFonts w:ascii="Courier New" w:hAnsi="Courier New" w:cs="Courier New" w:hint="default"/>
      </w:rPr>
    </w:lvl>
    <w:lvl w:ilvl="8" w:tplc="A93866B4" w:tentative="1">
      <w:start w:val="1"/>
      <w:numFmt w:val="bullet"/>
      <w:lvlText w:val=""/>
      <w:lvlJc w:val="left"/>
      <w:pPr>
        <w:ind w:left="6546" w:hanging="360"/>
      </w:pPr>
      <w:rPr>
        <w:rFonts w:ascii="Wingdings" w:hAnsi="Wingdings" w:hint="default"/>
      </w:rPr>
    </w:lvl>
  </w:abstractNum>
  <w:abstractNum w:abstractNumId="28" w15:restartNumberingAfterBreak="0">
    <w:nsid w:val="398D0E63"/>
    <w:multiLevelType w:val="hybridMultilevel"/>
    <w:tmpl w:val="504838DE"/>
    <w:lvl w:ilvl="0" w:tplc="A260BC4C">
      <w:start w:val="1"/>
      <w:numFmt w:val="bullet"/>
      <w:lvlText w:val=""/>
      <w:lvlJc w:val="left"/>
      <w:pPr>
        <w:ind w:left="1440" w:hanging="360"/>
      </w:pPr>
      <w:rPr>
        <w:rFonts w:ascii="Symbol" w:hAnsi="Symbol" w:hint="default"/>
      </w:rPr>
    </w:lvl>
    <w:lvl w:ilvl="1" w:tplc="69E6F31C" w:tentative="1">
      <w:start w:val="1"/>
      <w:numFmt w:val="bullet"/>
      <w:lvlText w:val="o"/>
      <w:lvlJc w:val="left"/>
      <w:pPr>
        <w:ind w:left="2160" w:hanging="360"/>
      </w:pPr>
      <w:rPr>
        <w:rFonts w:ascii="Courier New" w:hAnsi="Courier New" w:cs="Courier New" w:hint="default"/>
      </w:rPr>
    </w:lvl>
    <w:lvl w:ilvl="2" w:tplc="42563B3C" w:tentative="1">
      <w:start w:val="1"/>
      <w:numFmt w:val="bullet"/>
      <w:lvlText w:val=""/>
      <w:lvlJc w:val="left"/>
      <w:pPr>
        <w:ind w:left="2880" w:hanging="360"/>
      </w:pPr>
      <w:rPr>
        <w:rFonts w:ascii="Wingdings" w:hAnsi="Wingdings" w:hint="default"/>
      </w:rPr>
    </w:lvl>
    <w:lvl w:ilvl="3" w:tplc="FF5AAA40" w:tentative="1">
      <w:start w:val="1"/>
      <w:numFmt w:val="bullet"/>
      <w:lvlText w:val=""/>
      <w:lvlJc w:val="left"/>
      <w:pPr>
        <w:ind w:left="3600" w:hanging="360"/>
      </w:pPr>
      <w:rPr>
        <w:rFonts w:ascii="Symbol" w:hAnsi="Symbol" w:hint="default"/>
      </w:rPr>
    </w:lvl>
    <w:lvl w:ilvl="4" w:tplc="FB78CDC0" w:tentative="1">
      <w:start w:val="1"/>
      <w:numFmt w:val="bullet"/>
      <w:lvlText w:val="o"/>
      <w:lvlJc w:val="left"/>
      <w:pPr>
        <w:ind w:left="4320" w:hanging="360"/>
      </w:pPr>
      <w:rPr>
        <w:rFonts w:ascii="Courier New" w:hAnsi="Courier New" w:cs="Courier New" w:hint="default"/>
      </w:rPr>
    </w:lvl>
    <w:lvl w:ilvl="5" w:tplc="B6DA65AC" w:tentative="1">
      <w:start w:val="1"/>
      <w:numFmt w:val="bullet"/>
      <w:lvlText w:val=""/>
      <w:lvlJc w:val="left"/>
      <w:pPr>
        <w:ind w:left="5040" w:hanging="360"/>
      </w:pPr>
      <w:rPr>
        <w:rFonts w:ascii="Wingdings" w:hAnsi="Wingdings" w:hint="default"/>
      </w:rPr>
    </w:lvl>
    <w:lvl w:ilvl="6" w:tplc="DBB8B866" w:tentative="1">
      <w:start w:val="1"/>
      <w:numFmt w:val="bullet"/>
      <w:lvlText w:val=""/>
      <w:lvlJc w:val="left"/>
      <w:pPr>
        <w:ind w:left="5760" w:hanging="360"/>
      </w:pPr>
      <w:rPr>
        <w:rFonts w:ascii="Symbol" w:hAnsi="Symbol" w:hint="default"/>
      </w:rPr>
    </w:lvl>
    <w:lvl w:ilvl="7" w:tplc="D8DAC728" w:tentative="1">
      <w:start w:val="1"/>
      <w:numFmt w:val="bullet"/>
      <w:lvlText w:val="o"/>
      <w:lvlJc w:val="left"/>
      <w:pPr>
        <w:ind w:left="6480" w:hanging="360"/>
      </w:pPr>
      <w:rPr>
        <w:rFonts w:ascii="Courier New" w:hAnsi="Courier New" w:cs="Courier New" w:hint="default"/>
      </w:rPr>
    </w:lvl>
    <w:lvl w:ilvl="8" w:tplc="C426A23A" w:tentative="1">
      <w:start w:val="1"/>
      <w:numFmt w:val="bullet"/>
      <w:lvlText w:val=""/>
      <w:lvlJc w:val="left"/>
      <w:pPr>
        <w:ind w:left="7200" w:hanging="360"/>
      </w:pPr>
      <w:rPr>
        <w:rFonts w:ascii="Wingdings" w:hAnsi="Wingdings" w:hint="default"/>
      </w:rPr>
    </w:lvl>
  </w:abstractNum>
  <w:abstractNum w:abstractNumId="29" w15:restartNumberingAfterBreak="0">
    <w:nsid w:val="3CD21179"/>
    <w:multiLevelType w:val="hybridMultilevel"/>
    <w:tmpl w:val="FC2CECA6"/>
    <w:lvl w:ilvl="0" w:tplc="263E5F84">
      <w:start w:val="1"/>
      <w:numFmt w:val="bullet"/>
      <w:lvlText w:val=""/>
      <w:lvlJc w:val="left"/>
      <w:pPr>
        <w:ind w:left="720" w:hanging="360"/>
      </w:pPr>
      <w:rPr>
        <w:rFonts w:ascii="Symbol" w:hAnsi="Symbol" w:hint="default"/>
      </w:rPr>
    </w:lvl>
    <w:lvl w:ilvl="1" w:tplc="E56033C8">
      <w:start w:val="1"/>
      <w:numFmt w:val="bullet"/>
      <w:lvlText w:val="o"/>
      <w:lvlJc w:val="left"/>
      <w:pPr>
        <w:ind w:left="1353" w:hanging="360"/>
      </w:pPr>
      <w:rPr>
        <w:rFonts w:ascii="Courier New" w:hAnsi="Courier New" w:cs="Courier New" w:hint="default"/>
      </w:rPr>
    </w:lvl>
    <w:lvl w:ilvl="2" w:tplc="DA5698DA">
      <w:start w:val="1"/>
      <w:numFmt w:val="bullet"/>
      <w:lvlText w:val=""/>
      <w:lvlJc w:val="left"/>
      <w:pPr>
        <w:ind w:left="2160" w:hanging="360"/>
      </w:pPr>
      <w:rPr>
        <w:rFonts w:ascii="Wingdings" w:hAnsi="Wingdings" w:hint="default"/>
      </w:rPr>
    </w:lvl>
    <w:lvl w:ilvl="3" w:tplc="79E4A008" w:tentative="1">
      <w:start w:val="1"/>
      <w:numFmt w:val="bullet"/>
      <w:lvlText w:val=""/>
      <w:lvlJc w:val="left"/>
      <w:pPr>
        <w:ind w:left="2880" w:hanging="360"/>
      </w:pPr>
      <w:rPr>
        <w:rFonts w:ascii="Symbol" w:hAnsi="Symbol" w:hint="default"/>
      </w:rPr>
    </w:lvl>
    <w:lvl w:ilvl="4" w:tplc="C1C2AA48" w:tentative="1">
      <w:start w:val="1"/>
      <w:numFmt w:val="bullet"/>
      <w:lvlText w:val="o"/>
      <w:lvlJc w:val="left"/>
      <w:pPr>
        <w:ind w:left="3600" w:hanging="360"/>
      </w:pPr>
      <w:rPr>
        <w:rFonts w:ascii="Courier New" w:hAnsi="Courier New" w:cs="Courier New" w:hint="default"/>
      </w:rPr>
    </w:lvl>
    <w:lvl w:ilvl="5" w:tplc="1D581830" w:tentative="1">
      <w:start w:val="1"/>
      <w:numFmt w:val="bullet"/>
      <w:lvlText w:val=""/>
      <w:lvlJc w:val="left"/>
      <w:pPr>
        <w:ind w:left="4320" w:hanging="360"/>
      </w:pPr>
      <w:rPr>
        <w:rFonts w:ascii="Wingdings" w:hAnsi="Wingdings" w:hint="default"/>
      </w:rPr>
    </w:lvl>
    <w:lvl w:ilvl="6" w:tplc="5D90B456" w:tentative="1">
      <w:start w:val="1"/>
      <w:numFmt w:val="bullet"/>
      <w:lvlText w:val=""/>
      <w:lvlJc w:val="left"/>
      <w:pPr>
        <w:ind w:left="5040" w:hanging="360"/>
      </w:pPr>
      <w:rPr>
        <w:rFonts w:ascii="Symbol" w:hAnsi="Symbol" w:hint="default"/>
      </w:rPr>
    </w:lvl>
    <w:lvl w:ilvl="7" w:tplc="EC38D4F8" w:tentative="1">
      <w:start w:val="1"/>
      <w:numFmt w:val="bullet"/>
      <w:lvlText w:val="o"/>
      <w:lvlJc w:val="left"/>
      <w:pPr>
        <w:ind w:left="5760" w:hanging="360"/>
      </w:pPr>
      <w:rPr>
        <w:rFonts w:ascii="Courier New" w:hAnsi="Courier New" w:cs="Courier New" w:hint="default"/>
      </w:rPr>
    </w:lvl>
    <w:lvl w:ilvl="8" w:tplc="D2BE5996" w:tentative="1">
      <w:start w:val="1"/>
      <w:numFmt w:val="bullet"/>
      <w:lvlText w:val=""/>
      <w:lvlJc w:val="left"/>
      <w:pPr>
        <w:ind w:left="6480" w:hanging="360"/>
      </w:pPr>
      <w:rPr>
        <w:rFonts w:ascii="Wingdings" w:hAnsi="Wingdings" w:hint="default"/>
      </w:rPr>
    </w:lvl>
  </w:abstractNum>
  <w:abstractNum w:abstractNumId="30" w15:restartNumberingAfterBreak="0">
    <w:nsid w:val="420860A3"/>
    <w:multiLevelType w:val="hybridMultilevel"/>
    <w:tmpl w:val="2DF6A548"/>
    <w:lvl w:ilvl="0" w:tplc="B29EC7A2">
      <w:start w:val="1"/>
      <w:numFmt w:val="decimal"/>
      <w:pStyle w:val="Heading2-numbered"/>
      <w:lvlText w:val="%1."/>
      <w:lvlJc w:val="left"/>
      <w:pPr>
        <w:ind w:left="360" w:hanging="360"/>
      </w:pPr>
    </w:lvl>
    <w:lvl w:ilvl="1" w:tplc="3370BAA0" w:tentative="1">
      <w:start w:val="1"/>
      <w:numFmt w:val="lowerLetter"/>
      <w:lvlText w:val="%2."/>
      <w:lvlJc w:val="left"/>
      <w:pPr>
        <w:ind w:left="1080" w:hanging="360"/>
      </w:pPr>
    </w:lvl>
    <w:lvl w:ilvl="2" w:tplc="09A099B0" w:tentative="1">
      <w:start w:val="1"/>
      <w:numFmt w:val="lowerRoman"/>
      <w:lvlText w:val="%3."/>
      <w:lvlJc w:val="right"/>
      <w:pPr>
        <w:ind w:left="1800" w:hanging="180"/>
      </w:pPr>
    </w:lvl>
    <w:lvl w:ilvl="3" w:tplc="9814BF0C" w:tentative="1">
      <w:start w:val="1"/>
      <w:numFmt w:val="decimal"/>
      <w:lvlText w:val="%4."/>
      <w:lvlJc w:val="left"/>
      <w:pPr>
        <w:ind w:left="2520" w:hanging="360"/>
      </w:pPr>
    </w:lvl>
    <w:lvl w:ilvl="4" w:tplc="C9DC7BC4" w:tentative="1">
      <w:start w:val="1"/>
      <w:numFmt w:val="lowerLetter"/>
      <w:lvlText w:val="%5."/>
      <w:lvlJc w:val="left"/>
      <w:pPr>
        <w:ind w:left="3240" w:hanging="360"/>
      </w:pPr>
    </w:lvl>
    <w:lvl w:ilvl="5" w:tplc="A12CB6F8" w:tentative="1">
      <w:start w:val="1"/>
      <w:numFmt w:val="lowerRoman"/>
      <w:lvlText w:val="%6."/>
      <w:lvlJc w:val="right"/>
      <w:pPr>
        <w:ind w:left="3960" w:hanging="180"/>
      </w:pPr>
    </w:lvl>
    <w:lvl w:ilvl="6" w:tplc="CD2EDC0C" w:tentative="1">
      <w:start w:val="1"/>
      <w:numFmt w:val="decimal"/>
      <w:lvlText w:val="%7."/>
      <w:lvlJc w:val="left"/>
      <w:pPr>
        <w:ind w:left="4680" w:hanging="360"/>
      </w:pPr>
    </w:lvl>
    <w:lvl w:ilvl="7" w:tplc="6EF8B97C" w:tentative="1">
      <w:start w:val="1"/>
      <w:numFmt w:val="lowerLetter"/>
      <w:lvlText w:val="%8."/>
      <w:lvlJc w:val="left"/>
      <w:pPr>
        <w:ind w:left="5400" w:hanging="360"/>
      </w:pPr>
    </w:lvl>
    <w:lvl w:ilvl="8" w:tplc="385A2B54" w:tentative="1">
      <w:start w:val="1"/>
      <w:numFmt w:val="lowerRoman"/>
      <w:lvlText w:val="%9."/>
      <w:lvlJc w:val="right"/>
      <w:pPr>
        <w:ind w:left="6120" w:hanging="180"/>
      </w:pPr>
    </w:lvl>
  </w:abstractNum>
  <w:abstractNum w:abstractNumId="31" w15:restartNumberingAfterBreak="0">
    <w:nsid w:val="4E097B18"/>
    <w:multiLevelType w:val="hybridMultilevel"/>
    <w:tmpl w:val="4A8A06F0"/>
    <w:lvl w:ilvl="0" w:tplc="0D363B12">
      <w:start w:val="1"/>
      <w:numFmt w:val="bullet"/>
      <w:lvlText w:val=""/>
      <w:lvlJc w:val="left"/>
      <w:pPr>
        <w:ind w:left="720" w:hanging="360"/>
      </w:pPr>
      <w:rPr>
        <w:rFonts w:ascii="Symbol" w:hAnsi="Symbol" w:hint="default"/>
      </w:rPr>
    </w:lvl>
    <w:lvl w:ilvl="1" w:tplc="880C9ABC" w:tentative="1">
      <w:start w:val="1"/>
      <w:numFmt w:val="bullet"/>
      <w:lvlText w:val="o"/>
      <w:lvlJc w:val="left"/>
      <w:pPr>
        <w:ind w:left="1440" w:hanging="360"/>
      </w:pPr>
      <w:rPr>
        <w:rFonts w:ascii="Courier New" w:hAnsi="Courier New" w:cs="Courier New" w:hint="default"/>
      </w:rPr>
    </w:lvl>
    <w:lvl w:ilvl="2" w:tplc="98487E1E" w:tentative="1">
      <w:start w:val="1"/>
      <w:numFmt w:val="bullet"/>
      <w:lvlText w:val=""/>
      <w:lvlJc w:val="left"/>
      <w:pPr>
        <w:ind w:left="2160" w:hanging="360"/>
      </w:pPr>
      <w:rPr>
        <w:rFonts w:ascii="Wingdings" w:hAnsi="Wingdings" w:hint="default"/>
      </w:rPr>
    </w:lvl>
    <w:lvl w:ilvl="3" w:tplc="DA5A3A8A" w:tentative="1">
      <w:start w:val="1"/>
      <w:numFmt w:val="bullet"/>
      <w:lvlText w:val=""/>
      <w:lvlJc w:val="left"/>
      <w:pPr>
        <w:ind w:left="2880" w:hanging="360"/>
      </w:pPr>
      <w:rPr>
        <w:rFonts w:ascii="Symbol" w:hAnsi="Symbol" w:hint="default"/>
      </w:rPr>
    </w:lvl>
    <w:lvl w:ilvl="4" w:tplc="45BA3BDE" w:tentative="1">
      <w:start w:val="1"/>
      <w:numFmt w:val="bullet"/>
      <w:lvlText w:val="o"/>
      <w:lvlJc w:val="left"/>
      <w:pPr>
        <w:ind w:left="3600" w:hanging="360"/>
      </w:pPr>
      <w:rPr>
        <w:rFonts w:ascii="Courier New" w:hAnsi="Courier New" w:cs="Courier New" w:hint="default"/>
      </w:rPr>
    </w:lvl>
    <w:lvl w:ilvl="5" w:tplc="2D8A7D7C" w:tentative="1">
      <w:start w:val="1"/>
      <w:numFmt w:val="bullet"/>
      <w:lvlText w:val=""/>
      <w:lvlJc w:val="left"/>
      <w:pPr>
        <w:ind w:left="4320" w:hanging="360"/>
      </w:pPr>
      <w:rPr>
        <w:rFonts w:ascii="Wingdings" w:hAnsi="Wingdings" w:hint="default"/>
      </w:rPr>
    </w:lvl>
    <w:lvl w:ilvl="6" w:tplc="90AC9EBE" w:tentative="1">
      <w:start w:val="1"/>
      <w:numFmt w:val="bullet"/>
      <w:lvlText w:val=""/>
      <w:lvlJc w:val="left"/>
      <w:pPr>
        <w:ind w:left="5040" w:hanging="360"/>
      </w:pPr>
      <w:rPr>
        <w:rFonts w:ascii="Symbol" w:hAnsi="Symbol" w:hint="default"/>
      </w:rPr>
    </w:lvl>
    <w:lvl w:ilvl="7" w:tplc="65D64DA6" w:tentative="1">
      <w:start w:val="1"/>
      <w:numFmt w:val="bullet"/>
      <w:lvlText w:val="o"/>
      <w:lvlJc w:val="left"/>
      <w:pPr>
        <w:ind w:left="5760" w:hanging="360"/>
      </w:pPr>
      <w:rPr>
        <w:rFonts w:ascii="Courier New" w:hAnsi="Courier New" w:cs="Courier New" w:hint="default"/>
      </w:rPr>
    </w:lvl>
    <w:lvl w:ilvl="8" w:tplc="31BC6BBA" w:tentative="1">
      <w:start w:val="1"/>
      <w:numFmt w:val="bullet"/>
      <w:lvlText w:val=""/>
      <w:lvlJc w:val="left"/>
      <w:pPr>
        <w:ind w:left="6480" w:hanging="360"/>
      </w:pPr>
      <w:rPr>
        <w:rFonts w:ascii="Wingdings" w:hAnsi="Wingdings" w:hint="default"/>
      </w:rPr>
    </w:lvl>
  </w:abstractNum>
  <w:abstractNum w:abstractNumId="32" w15:restartNumberingAfterBreak="0">
    <w:nsid w:val="5089630A"/>
    <w:multiLevelType w:val="hybridMultilevel"/>
    <w:tmpl w:val="325691BA"/>
    <w:lvl w:ilvl="0" w:tplc="6E66B9A0">
      <w:start w:val="1"/>
      <w:numFmt w:val="bullet"/>
      <w:lvlText w:val=""/>
      <w:lvlJc w:val="left"/>
      <w:pPr>
        <w:ind w:left="502" w:hanging="360"/>
      </w:pPr>
      <w:rPr>
        <w:rFonts w:ascii="Symbol" w:hAnsi="Symbol" w:hint="default"/>
      </w:rPr>
    </w:lvl>
    <w:lvl w:ilvl="1" w:tplc="AED6DA96" w:tentative="1">
      <w:start w:val="1"/>
      <w:numFmt w:val="bullet"/>
      <w:lvlText w:val="o"/>
      <w:lvlJc w:val="left"/>
      <w:pPr>
        <w:ind w:left="1222" w:hanging="360"/>
      </w:pPr>
      <w:rPr>
        <w:rFonts w:ascii="Courier New" w:hAnsi="Courier New" w:cs="Courier New" w:hint="default"/>
      </w:rPr>
    </w:lvl>
    <w:lvl w:ilvl="2" w:tplc="3E8CFA60" w:tentative="1">
      <w:start w:val="1"/>
      <w:numFmt w:val="bullet"/>
      <w:lvlText w:val=""/>
      <w:lvlJc w:val="left"/>
      <w:pPr>
        <w:ind w:left="1942" w:hanging="360"/>
      </w:pPr>
      <w:rPr>
        <w:rFonts w:ascii="Wingdings" w:hAnsi="Wingdings" w:hint="default"/>
      </w:rPr>
    </w:lvl>
    <w:lvl w:ilvl="3" w:tplc="FB54487C" w:tentative="1">
      <w:start w:val="1"/>
      <w:numFmt w:val="bullet"/>
      <w:lvlText w:val=""/>
      <w:lvlJc w:val="left"/>
      <w:pPr>
        <w:ind w:left="2662" w:hanging="360"/>
      </w:pPr>
      <w:rPr>
        <w:rFonts w:ascii="Symbol" w:hAnsi="Symbol" w:hint="default"/>
      </w:rPr>
    </w:lvl>
    <w:lvl w:ilvl="4" w:tplc="1CD20904" w:tentative="1">
      <w:start w:val="1"/>
      <w:numFmt w:val="bullet"/>
      <w:lvlText w:val="o"/>
      <w:lvlJc w:val="left"/>
      <w:pPr>
        <w:ind w:left="3382" w:hanging="360"/>
      </w:pPr>
      <w:rPr>
        <w:rFonts w:ascii="Courier New" w:hAnsi="Courier New" w:cs="Courier New" w:hint="default"/>
      </w:rPr>
    </w:lvl>
    <w:lvl w:ilvl="5" w:tplc="42F656A4" w:tentative="1">
      <w:start w:val="1"/>
      <w:numFmt w:val="bullet"/>
      <w:lvlText w:val=""/>
      <w:lvlJc w:val="left"/>
      <w:pPr>
        <w:ind w:left="4102" w:hanging="360"/>
      </w:pPr>
      <w:rPr>
        <w:rFonts w:ascii="Wingdings" w:hAnsi="Wingdings" w:hint="default"/>
      </w:rPr>
    </w:lvl>
    <w:lvl w:ilvl="6" w:tplc="4568FDA4" w:tentative="1">
      <w:start w:val="1"/>
      <w:numFmt w:val="bullet"/>
      <w:lvlText w:val=""/>
      <w:lvlJc w:val="left"/>
      <w:pPr>
        <w:ind w:left="4822" w:hanging="360"/>
      </w:pPr>
      <w:rPr>
        <w:rFonts w:ascii="Symbol" w:hAnsi="Symbol" w:hint="default"/>
      </w:rPr>
    </w:lvl>
    <w:lvl w:ilvl="7" w:tplc="3BC20894" w:tentative="1">
      <w:start w:val="1"/>
      <w:numFmt w:val="bullet"/>
      <w:lvlText w:val="o"/>
      <w:lvlJc w:val="left"/>
      <w:pPr>
        <w:ind w:left="5542" w:hanging="360"/>
      </w:pPr>
      <w:rPr>
        <w:rFonts w:ascii="Courier New" w:hAnsi="Courier New" w:cs="Courier New" w:hint="default"/>
      </w:rPr>
    </w:lvl>
    <w:lvl w:ilvl="8" w:tplc="5D4A7DA8" w:tentative="1">
      <w:start w:val="1"/>
      <w:numFmt w:val="bullet"/>
      <w:lvlText w:val=""/>
      <w:lvlJc w:val="left"/>
      <w:pPr>
        <w:ind w:left="6262" w:hanging="360"/>
      </w:pPr>
      <w:rPr>
        <w:rFonts w:ascii="Wingdings" w:hAnsi="Wingdings" w:hint="default"/>
      </w:rPr>
    </w:lvl>
  </w:abstractNum>
  <w:abstractNum w:abstractNumId="33" w15:restartNumberingAfterBreak="0">
    <w:nsid w:val="53DF5491"/>
    <w:multiLevelType w:val="hybridMultilevel"/>
    <w:tmpl w:val="48D2F91C"/>
    <w:lvl w:ilvl="0" w:tplc="CFF0D6E0">
      <w:start w:val="1"/>
      <w:numFmt w:val="bullet"/>
      <w:lvlText w:val=""/>
      <w:lvlJc w:val="left"/>
      <w:pPr>
        <w:ind w:left="502" w:hanging="360"/>
      </w:pPr>
      <w:rPr>
        <w:rFonts w:ascii="Symbol" w:hAnsi="Symbol" w:hint="default"/>
      </w:rPr>
    </w:lvl>
    <w:lvl w:ilvl="1" w:tplc="C6FEBB16" w:tentative="1">
      <w:start w:val="1"/>
      <w:numFmt w:val="bullet"/>
      <w:lvlText w:val="o"/>
      <w:lvlJc w:val="left"/>
      <w:pPr>
        <w:ind w:left="1222" w:hanging="360"/>
      </w:pPr>
      <w:rPr>
        <w:rFonts w:ascii="Courier New" w:hAnsi="Courier New" w:cs="Courier New" w:hint="default"/>
      </w:rPr>
    </w:lvl>
    <w:lvl w:ilvl="2" w:tplc="E506CD36" w:tentative="1">
      <w:start w:val="1"/>
      <w:numFmt w:val="bullet"/>
      <w:lvlText w:val=""/>
      <w:lvlJc w:val="left"/>
      <w:pPr>
        <w:ind w:left="1942" w:hanging="360"/>
      </w:pPr>
      <w:rPr>
        <w:rFonts w:ascii="Wingdings" w:hAnsi="Wingdings" w:hint="default"/>
      </w:rPr>
    </w:lvl>
    <w:lvl w:ilvl="3" w:tplc="2BA26282" w:tentative="1">
      <w:start w:val="1"/>
      <w:numFmt w:val="bullet"/>
      <w:lvlText w:val=""/>
      <w:lvlJc w:val="left"/>
      <w:pPr>
        <w:ind w:left="2662" w:hanging="360"/>
      </w:pPr>
      <w:rPr>
        <w:rFonts w:ascii="Symbol" w:hAnsi="Symbol" w:hint="default"/>
      </w:rPr>
    </w:lvl>
    <w:lvl w:ilvl="4" w:tplc="78E8DF00" w:tentative="1">
      <w:start w:val="1"/>
      <w:numFmt w:val="bullet"/>
      <w:lvlText w:val="o"/>
      <w:lvlJc w:val="left"/>
      <w:pPr>
        <w:ind w:left="3382" w:hanging="360"/>
      </w:pPr>
      <w:rPr>
        <w:rFonts w:ascii="Courier New" w:hAnsi="Courier New" w:cs="Courier New" w:hint="default"/>
      </w:rPr>
    </w:lvl>
    <w:lvl w:ilvl="5" w:tplc="A700286A" w:tentative="1">
      <w:start w:val="1"/>
      <w:numFmt w:val="bullet"/>
      <w:lvlText w:val=""/>
      <w:lvlJc w:val="left"/>
      <w:pPr>
        <w:ind w:left="4102" w:hanging="360"/>
      </w:pPr>
      <w:rPr>
        <w:rFonts w:ascii="Wingdings" w:hAnsi="Wingdings" w:hint="default"/>
      </w:rPr>
    </w:lvl>
    <w:lvl w:ilvl="6" w:tplc="AEA0E5BE" w:tentative="1">
      <w:start w:val="1"/>
      <w:numFmt w:val="bullet"/>
      <w:lvlText w:val=""/>
      <w:lvlJc w:val="left"/>
      <w:pPr>
        <w:ind w:left="4822" w:hanging="360"/>
      </w:pPr>
      <w:rPr>
        <w:rFonts w:ascii="Symbol" w:hAnsi="Symbol" w:hint="default"/>
      </w:rPr>
    </w:lvl>
    <w:lvl w:ilvl="7" w:tplc="3AEE35A8" w:tentative="1">
      <w:start w:val="1"/>
      <w:numFmt w:val="bullet"/>
      <w:lvlText w:val="o"/>
      <w:lvlJc w:val="left"/>
      <w:pPr>
        <w:ind w:left="5542" w:hanging="360"/>
      </w:pPr>
      <w:rPr>
        <w:rFonts w:ascii="Courier New" w:hAnsi="Courier New" w:cs="Courier New" w:hint="default"/>
      </w:rPr>
    </w:lvl>
    <w:lvl w:ilvl="8" w:tplc="C9600B78" w:tentative="1">
      <w:start w:val="1"/>
      <w:numFmt w:val="bullet"/>
      <w:lvlText w:val=""/>
      <w:lvlJc w:val="left"/>
      <w:pPr>
        <w:ind w:left="6262" w:hanging="360"/>
      </w:pPr>
      <w:rPr>
        <w:rFonts w:ascii="Wingdings" w:hAnsi="Wingdings" w:hint="default"/>
      </w:rPr>
    </w:lvl>
  </w:abstractNum>
  <w:abstractNum w:abstractNumId="34" w15:restartNumberingAfterBreak="0">
    <w:nsid w:val="564E3D0E"/>
    <w:multiLevelType w:val="hybridMultilevel"/>
    <w:tmpl w:val="EE56084A"/>
    <w:lvl w:ilvl="0" w:tplc="80E2BBDA">
      <w:start w:val="1"/>
      <w:numFmt w:val="bullet"/>
      <w:lvlText w:val=""/>
      <w:lvlJc w:val="left"/>
      <w:pPr>
        <w:ind w:left="720" w:hanging="360"/>
      </w:pPr>
      <w:rPr>
        <w:rFonts w:ascii="Symbol" w:hAnsi="Symbol" w:hint="default"/>
      </w:rPr>
    </w:lvl>
    <w:lvl w:ilvl="1" w:tplc="4AC4D1F2" w:tentative="1">
      <w:start w:val="1"/>
      <w:numFmt w:val="bullet"/>
      <w:lvlText w:val="o"/>
      <w:lvlJc w:val="left"/>
      <w:pPr>
        <w:ind w:left="1440" w:hanging="360"/>
      </w:pPr>
      <w:rPr>
        <w:rFonts w:ascii="Courier New" w:hAnsi="Courier New" w:cs="Courier New" w:hint="default"/>
      </w:rPr>
    </w:lvl>
    <w:lvl w:ilvl="2" w:tplc="C69E1B7E" w:tentative="1">
      <w:start w:val="1"/>
      <w:numFmt w:val="bullet"/>
      <w:lvlText w:val=""/>
      <w:lvlJc w:val="left"/>
      <w:pPr>
        <w:ind w:left="2160" w:hanging="360"/>
      </w:pPr>
      <w:rPr>
        <w:rFonts w:ascii="Wingdings" w:hAnsi="Wingdings" w:hint="default"/>
      </w:rPr>
    </w:lvl>
    <w:lvl w:ilvl="3" w:tplc="38DA8EFE" w:tentative="1">
      <w:start w:val="1"/>
      <w:numFmt w:val="bullet"/>
      <w:lvlText w:val=""/>
      <w:lvlJc w:val="left"/>
      <w:pPr>
        <w:ind w:left="2880" w:hanging="360"/>
      </w:pPr>
      <w:rPr>
        <w:rFonts w:ascii="Symbol" w:hAnsi="Symbol" w:hint="default"/>
      </w:rPr>
    </w:lvl>
    <w:lvl w:ilvl="4" w:tplc="1166F722" w:tentative="1">
      <w:start w:val="1"/>
      <w:numFmt w:val="bullet"/>
      <w:lvlText w:val="o"/>
      <w:lvlJc w:val="left"/>
      <w:pPr>
        <w:ind w:left="3600" w:hanging="360"/>
      </w:pPr>
      <w:rPr>
        <w:rFonts w:ascii="Courier New" w:hAnsi="Courier New" w:cs="Courier New" w:hint="default"/>
      </w:rPr>
    </w:lvl>
    <w:lvl w:ilvl="5" w:tplc="671E636A" w:tentative="1">
      <w:start w:val="1"/>
      <w:numFmt w:val="bullet"/>
      <w:lvlText w:val=""/>
      <w:lvlJc w:val="left"/>
      <w:pPr>
        <w:ind w:left="4320" w:hanging="360"/>
      </w:pPr>
      <w:rPr>
        <w:rFonts w:ascii="Wingdings" w:hAnsi="Wingdings" w:hint="default"/>
      </w:rPr>
    </w:lvl>
    <w:lvl w:ilvl="6" w:tplc="37006022" w:tentative="1">
      <w:start w:val="1"/>
      <w:numFmt w:val="bullet"/>
      <w:lvlText w:val=""/>
      <w:lvlJc w:val="left"/>
      <w:pPr>
        <w:ind w:left="5040" w:hanging="360"/>
      </w:pPr>
      <w:rPr>
        <w:rFonts w:ascii="Symbol" w:hAnsi="Symbol" w:hint="default"/>
      </w:rPr>
    </w:lvl>
    <w:lvl w:ilvl="7" w:tplc="8B62C6EE" w:tentative="1">
      <w:start w:val="1"/>
      <w:numFmt w:val="bullet"/>
      <w:lvlText w:val="o"/>
      <w:lvlJc w:val="left"/>
      <w:pPr>
        <w:ind w:left="5760" w:hanging="360"/>
      </w:pPr>
      <w:rPr>
        <w:rFonts w:ascii="Courier New" w:hAnsi="Courier New" w:cs="Courier New" w:hint="default"/>
      </w:rPr>
    </w:lvl>
    <w:lvl w:ilvl="8" w:tplc="4688504C" w:tentative="1">
      <w:start w:val="1"/>
      <w:numFmt w:val="bullet"/>
      <w:lvlText w:val=""/>
      <w:lvlJc w:val="left"/>
      <w:pPr>
        <w:ind w:left="6480" w:hanging="360"/>
      </w:pPr>
      <w:rPr>
        <w:rFonts w:ascii="Wingdings" w:hAnsi="Wingdings" w:hint="default"/>
      </w:rPr>
    </w:lvl>
  </w:abstractNum>
  <w:abstractNum w:abstractNumId="35" w15:restartNumberingAfterBreak="0">
    <w:nsid w:val="59724625"/>
    <w:multiLevelType w:val="hybridMultilevel"/>
    <w:tmpl w:val="5DD2CC70"/>
    <w:lvl w:ilvl="0" w:tplc="1964968E">
      <w:start w:val="1"/>
      <w:numFmt w:val="bullet"/>
      <w:lvlText w:val="o"/>
      <w:lvlJc w:val="left"/>
      <w:pPr>
        <w:ind w:left="2160" w:hanging="360"/>
      </w:pPr>
      <w:rPr>
        <w:rFonts w:ascii="Courier New" w:hAnsi="Courier New" w:cs="Courier New" w:hint="default"/>
      </w:rPr>
    </w:lvl>
    <w:lvl w:ilvl="1" w:tplc="7534C504" w:tentative="1">
      <w:start w:val="1"/>
      <w:numFmt w:val="bullet"/>
      <w:lvlText w:val="o"/>
      <w:lvlJc w:val="left"/>
      <w:pPr>
        <w:ind w:left="2880" w:hanging="360"/>
      </w:pPr>
      <w:rPr>
        <w:rFonts w:ascii="Courier New" w:hAnsi="Courier New" w:cs="Courier New" w:hint="default"/>
      </w:rPr>
    </w:lvl>
    <w:lvl w:ilvl="2" w:tplc="AB44E52E" w:tentative="1">
      <w:start w:val="1"/>
      <w:numFmt w:val="bullet"/>
      <w:lvlText w:val=""/>
      <w:lvlJc w:val="left"/>
      <w:pPr>
        <w:ind w:left="3600" w:hanging="360"/>
      </w:pPr>
      <w:rPr>
        <w:rFonts w:ascii="Wingdings" w:hAnsi="Wingdings" w:hint="default"/>
      </w:rPr>
    </w:lvl>
    <w:lvl w:ilvl="3" w:tplc="C0BA419A" w:tentative="1">
      <w:start w:val="1"/>
      <w:numFmt w:val="bullet"/>
      <w:lvlText w:val=""/>
      <w:lvlJc w:val="left"/>
      <w:pPr>
        <w:ind w:left="4320" w:hanging="360"/>
      </w:pPr>
      <w:rPr>
        <w:rFonts w:ascii="Symbol" w:hAnsi="Symbol" w:hint="default"/>
      </w:rPr>
    </w:lvl>
    <w:lvl w:ilvl="4" w:tplc="407089B6" w:tentative="1">
      <w:start w:val="1"/>
      <w:numFmt w:val="bullet"/>
      <w:lvlText w:val="o"/>
      <w:lvlJc w:val="left"/>
      <w:pPr>
        <w:ind w:left="5040" w:hanging="360"/>
      </w:pPr>
      <w:rPr>
        <w:rFonts w:ascii="Courier New" w:hAnsi="Courier New" w:cs="Courier New" w:hint="default"/>
      </w:rPr>
    </w:lvl>
    <w:lvl w:ilvl="5" w:tplc="77FEC178" w:tentative="1">
      <w:start w:val="1"/>
      <w:numFmt w:val="bullet"/>
      <w:lvlText w:val=""/>
      <w:lvlJc w:val="left"/>
      <w:pPr>
        <w:ind w:left="5760" w:hanging="360"/>
      </w:pPr>
      <w:rPr>
        <w:rFonts w:ascii="Wingdings" w:hAnsi="Wingdings" w:hint="default"/>
      </w:rPr>
    </w:lvl>
    <w:lvl w:ilvl="6" w:tplc="C8E21FD2" w:tentative="1">
      <w:start w:val="1"/>
      <w:numFmt w:val="bullet"/>
      <w:lvlText w:val=""/>
      <w:lvlJc w:val="left"/>
      <w:pPr>
        <w:ind w:left="6480" w:hanging="360"/>
      </w:pPr>
      <w:rPr>
        <w:rFonts w:ascii="Symbol" w:hAnsi="Symbol" w:hint="default"/>
      </w:rPr>
    </w:lvl>
    <w:lvl w:ilvl="7" w:tplc="38BE5ADA" w:tentative="1">
      <w:start w:val="1"/>
      <w:numFmt w:val="bullet"/>
      <w:lvlText w:val="o"/>
      <w:lvlJc w:val="left"/>
      <w:pPr>
        <w:ind w:left="7200" w:hanging="360"/>
      </w:pPr>
      <w:rPr>
        <w:rFonts w:ascii="Courier New" w:hAnsi="Courier New" w:cs="Courier New" w:hint="default"/>
      </w:rPr>
    </w:lvl>
    <w:lvl w:ilvl="8" w:tplc="E6D881D0" w:tentative="1">
      <w:start w:val="1"/>
      <w:numFmt w:val="bullet"/>
      <w:lvlText w:val=""/>
      <w:lvlJc w:val="left"/>
      <w:pPr>
        <w:ind w:left="7920" w:hanging="360"/>
      </w:pPr>
      <w:rPr>
        <w:rFonts w:ascii="Wingdings" w:hAnsi="Wingdings" w:hint="default"/>
      </w:rPr>
    </w:lvl>
  </w:abstractNum>
  <w:abstractNum w:abstractNumId="36" w15:restartNumberingAfterBreak="0">
    <w:nsid w:val="63C374F1"/>
    <w:multiLevelType w:val="hybridMultilevel"/>
    <w:tmpl w:val="A782BDFC"/>
    <w:lvl w:ilvl="0" w:tplc="20BE7346">
      <w:start w:val="1"/>
      <w:numFmt w:val="bullet"/>
      <w:lvlText w:val=""/>
      <w:lvlJc w:val="left"/>
      <w:pPr>
        <w:ind w:left="502" w:hanging="360"/>
      </w:pPr>
      <w:rPr>
        <w:rFonts w:ascii="Symbol" w:hAnsi="Symbol" w:hint="default"/>
      </w:rPr>
    </w:lvl>
    <w:lvl w:ilvl="1" w:tplc="BD701EE2">
      <w:numFmt w:val="bullet"/>
      <w:lvlText w:val="•"/>
      <w:lvlJc w:val="left"/>
      <w:pPr>
        <w:ind w:left="1440" w:hanging="360"/>
      </w:pPr>
      <w:rPr>
        <w:rFonts w:ascii="Arial" w:eastAsia="Calibri" w:hAnsi="Arial" w:cs="Arial" w:hint="default"/>
      </w:rPr>
    </w:lvl>
    <w:lvl w:ilvl="2" w:tplc="0E24D4FA" w:tentative="1">
      <w:start w:val="1"/>
      <w:numFmt w:val="bullet"/>
      <w:lvlText w:val=""/>
      <w:lvlJc w:val="left"/>
      <w:pPr>
        <w:ind w:left="2160" w:hanging="360"/>
      </w:pPr>
      <w:rPr>
        <w:rFonts w:ascii="Wingdings" w:hAnsi="Wingdings" w:hint="default"/>
      </w:rPr>
    </w:lvl>
    <w:lvl w:ilvl="3" w:tplc="292CDB24" w:tentative="1">
      <w:start w:val="1"/>
      <w:numFmt w:val="bullet"/>
      <w:lvlText w:val=""/>
      <w:lvlJc w:val="left"/>
      <w:pPr>
        <w:ind w:left="2880" w:hanging="360"/>
      </w:pPr>
      <w:rPr>
        <w:rFonts w:ascii="Symbol" w:hAnsi="Symbol" w:hint="default"/>
      </w:rPr>
    </w:lvl>
    <w:lvl w:ilvl="4" w:tplc="98CAF282" w:tentative="1">
      <w:start w:val="1"/>
      <w:numFmt w:val="bullet"/>
      <w:lvlText w:val="o"/>
      <w:lvlJc w:val="left"/>
      <w:pPr>
        <w:ind w:left="3600" w:hanging="360"/>
      </w:pPr>
      <w:rPr>
        <w:rFonts w:ascii="Courier New" w:hAnsi="Courier New" w:cs="Courier New" w:hint="default"/>
      </w:rPr>
    </w:lvl>
    <w:lvl w:ilvl="5" w:tplc="1284C786" w:tentative="1">
      <w:start w:val="1"/>
      <w:numFmt w:val="bullet"/>
      <w:lvlText w:val=""/>
      <w:lvlJc w:val="left"/>
      <w:pPr>
        <w:ind w:left="4320" w:hanging="360"/>
      </w:pPr>
      <w:rPr>
        <w:rFonts w:ascii="Wingdings" w:hAnsi="Wingdings" w:hint="default"/>
      </w:rPr>
    </w:lvl>
    <w:lvl w:ilvl="6" w:tplc="0ADACF7E" w:tentative="1">
      <w:start w:val="1"/>
      <w:numFmt w:val="bullet"/>
      <w:lvlText w:val=""/>
      <w:lvlJc w:val="left"/>
      <w:pPr>
        <w:ind w:left="5040" w:hanging="360"/>
      </w:pPr>
      <w:rPr>
        <w:rFonts w:ascii="Symbol" w:hAnsi="Symbol" w:hint="default"/>
      </w:rPr>
    </w:lvl>
    <w:lvl w:ilvl="7" w:tplc="BCB621F4" w:tentative="1">
      <w:start w:val="1"/>
      <w:numFmt w:val="bullet"/>
      <w:lvlText w:val="o"/>
      <w:lvlJc w:val="left"/>
      <w:pPr>
        <w:ind w:left="5760" w:hanging="360"/>
      </w:pPr>
      <w:rPr>
        <w:rFonts w:ascii="Courier New" w:hAnsi="Courier New" w:cs="Courier New" w:hint="default"/>
      </w:rPr>
    </w:lvl>
    <w:lvl w:ilvl="8" w:tplc="E9701588" w:tentative="1">
      <w:start w:val="1"/>
      <w:numFmt w:val="bullet"/>
      <w:lvlText w:val=""/>
      <w:lvlJc w:val="left"/>
      <w:pPr>
        <w:ind w:left="6480" w:hanging="360"/>
      </w:pPr>
      <w:rPr>
        <w:rFonts w:ascii="Wingdings" w:hAnsi="Wingdings" w:hint="default"/>
      </w:rPr>
    </w:lvl>
  </w:abstractNum>
  <w:abstractNum w:abstractNumId="37" w15:restartNumberingAfterBreak="0">
    <w:nsid w:val="63F759CD"/>
    <w:multiLevelType w:val="hybridMultilevel"/>
    <w:tmpl w:val="6FF22088"/>
    <w:lvl w:ilvl="0" w:tplc="4B7898A0">
      <w:start w:val="1"/>
      <w:numFmt w:val="decimal"/>
      <w:pStyle w:val="Heading4"/>
      <w:lvlText w:val="%1."/>
      <w:lvlJc w:val="left"/>
      <w:pPr>
        <w:ind w:left="360" w:hanging="360"/>
      </w:pPr>
    </w:lvl>
    <w:lvl w:ilvl="1" w:tplc="A9EAE1A8" w:tentative="1">
      <w:start w:val="1"/>
      <w:numFmt w:val="lowerLetter"/>
      <w:lvlText w:val="%2."/>
      <w:lvlJc w:val="left"/>
      <w:pPr>
        <w:ind w:left="1080" w:hanging="360"/>
      </w:pPr>
    </w:lvl>
    <w:lvl w:ilvl="2" w:tplc="92681E66" w:tentative="1">
      <w:start w:val="1"/>
      <w:numFmt w:val="lowerRoman"/>
      <w:lvlText w:val="%3."/>
      <w:lvlJc w:val="right"/>
      <w:pPr>
        <w:ind w:left="1800" w:hanging="180"/>
      </w:pPr>
    </w:lvl>
    <w:lvl w:ilvl="3" w:tplc="A63CCB90" w:tentative="1">
      <w:start w:val="1"/>
      <w:numFmt w:val="decimal"/>
      <w:lvlText w:val="%4."/>
      <w:lvlJc w:val="left"/>
      <w:pPr>
        <w:ind w:left="2520" w:hanging="360"/>
      </w:pPr>
    </w:lvl>
    <w:lvl w:ilvl="4" w:tplc="FF867790" w:tentative="1">
      <w:start w:val="1"/>
      <w:numFmt w:val="lowerLetter"/>
      <w:lvlText w:val="%5."/>
      <w:lvlJc w:val="left"/>
      <w:pPr>
        <w:ind w:left="3240" w:hanging="360"/>
      </w:pPr>
    </w:lvl>
    <w:lvl w:ilvl="5" w:tplc="421C8FDE" w:tentative="1">
      <w:start w:val="1"/>
      <w:numFmt w:val="lowerRoman"/>
      <w:lvlText w:val="%6."/>
      <w:lvlJc w:val="right"/>
      <w:pPr>
        <w:ind w:left="3960" w:hanging="180"/>
      </w:pPr>
    </w:lvl>
    <w:lvl w:ilvl="6" w:tplc="AD6229EE" w:tentative="1">
      <w:start w:val="1"/>
      <w:numFmt w:val="decimal"/>
      <w:lvlText w:val="%7."/>
      <w:lvlJc w:val="left"/>
      <w:pPr>
        <w:ind w:left="4680" w:hanging="360"/>
      </w:pPr>
    </w:lvl>
    <w:lvl w:ilvl="7" w:tplc="D658B00A" w:tentative="1">
      <w:start w:val="1"/>
      <w:numFmt w:val="lowerLetter"/>
      <w:lvlText w:val="%8."/>
      <w:lvlJc w:val="left"/>
      <w:pPr>
        <w:ind w:left="5400" w:hanging="360"/>
      </w:pPr>
    </w:lvl>
    <w:lvl w:ilvl="8" w:tplc="F474B208" w:tentative="1">
      <w:start w:val="1"/>
      <w:numFmt w:val="lowerRoman"/>
      <w:lvlText w:val="%9."/>
      <w:lvlJc w:val="right"/>
      <w:pPr>
        <w:ind w:left="6120" w:hanging="180"/>
      </w:pPr>
    </w:lvl>
  </w:abstractNum>
  <w:abstractNum w:abstractNumId="38" w15:restartNumberingAfterBreak="0">
    <w:nsid w:val="6BFC7B04"/>
    <w:multiLevelType w:val="hybridMultilevel"/>
    <w:tmpl w:val="C9F452C8"/>
    <w:lvl w:ilvl="0" w:tplc="62EE9D8E">
      <w:start w:val="1"/>
      <w:numFmt w:val="decimal"/>
      <w:lvlText w:val="%1."/>
      <w:lvlJc w:val="left"/>
      <w:pPr>
        <w:ind w:left="930" w:hanging="570"/>
      </w:pPr>
      <w:rPr>
        <w:rFonts w:hint="default"/>
      </w:rPr>
    </w:lvl>
    <w:lvl w:ilvl="1" w:tplc="C72670A4">
      <w:start w:val="1"/>
      <w:numFmt w:val="lowerLetter"/>
      <w:lvlText w:val="%2."/>
      <w:lvlJc w:val="left"/>
      <w:pPr>
        <w:ind w:left="1440" w:hanging="360"/>
      </w:pPr>
    </w:lvl>
    <w:lvl w:ilvl="2" w:tplc="A2DA07C2" w:tentative="1">
      <w:start w:val="1"/>
      <w:numFmt w:val="lowerRoman"/>
      <w:lvlText w:val="%3."/>
      <w:lvlJc w:val="right"/>
      <w:pPr>
        <w:ind w:left="2160" w:hanging="180"/>
      </w:pPr>
    </w:lvl>
    <w:lvl w:ilvl="3" w:tplc="DEE44D4A" w:tentative="1">
      <w:start w:val="1"/>
      <w:numFmt w:val="decimal"/>
      <w:lvlText w:val="%4."/>
      <w:lvlJc w:val="left"/>
      <w:pPr>
        <w:ind w:left="2880" w:hanging="360"/>
      </w:pPr>
    </w:lvl>
    <w:lvl w:ilvl="4" w:tplc="8280C9CE" w:tentative="1">
      <w:start w:val="1"/>
      <w:numFmt w:val="lowerLetter"/>
      <w:lvlText w:val="%5."/>
      <w:lvlJc w:val="left"/>
      <w:pPr>
        <w:ind w:left="3600" w:hanging="360"/>
      </w:pPr>
    </w:lvl>
    <w:lvl w:ilvl="5" w:tplc="933CFB2C" w:tentative="1">
      <w:start w:val="1"/>
      <w:numFmt w:val="lowerRoman"/>
      <w:lvlText w:val="%6."/>
      <w:lvlJc w:val="right"/>
      <w:pPr>
        <w:ind w:left="4320" w:hanging="180"/>
      </w:pPr>
    </w:lvl>
    <w:lvl w:ilvl="6" w:tplc="8E5E1E0A" w:tentative="1">
      <w:start w:val="1"/>
      <w:numFmt w:val="decimal"/>
      <w:lvlText w:val="%7."/>
      <w:lvlJc w:val="left"/>
      <w:pPr>
        <w:ind w:left="5040" w:hanging="360"/>
      </w:pPr>
    </w:lvl>
    <w:lvl w:ilvl="7" w:tplc="CE4E0404" w:tentative="1">
      <w:start w:val="1"/>
      <w:numFmt w:val="lowerLetter"/>
      <w:lvlText w:val="%8."/>
      <w:lvlJc w:val="left"/>
      <w:pPr>
        <w:ind w:left="5760" w:hanging="360"/>
      </w:pPr>
    </w:lvl>
    <w:lvl w:ilvl="8" w:tplc="7DDA95A6" w:tentative="1">
      <w:start w:val="1"/>
      <w:numFmt w:val="lowerRoman"/>
      <w:lvlText w:val="%9."/>
      <w:lvlJc w:val="right"/>
      <w:pPr>
        <w:ind w:left="6480" w:hanging="180"/>
      </w:pPr>
    </w:lvl>
  </w:abstractNum>
  <w:abstractNum w:abstractNumId="39" w15:restartNumberingAfterBreak="0">
    <w:nsid w:val="712C6B77"/>
    <w:multiLevelType w:val="hybridMultilevel"/>
    <w:tmpl w:val="808278F0"/>
    <w:lvl w:ilvl="0" w:tplc="A9ACA64E">
      <w:start w:val="1"/>
      <w:numFmt w:val="decimal"/>
      <w:pStyle w:val="Heading3-numbered"/>
      <w:lvlText w:val="%1."/>
      <w:lvlJc w:val="left"/>
      <w:pPr>
        <w:ind w:left="360" w:hanging="360"/>
      </w:pPr>
      <w:rPr>
        <w:b/>
        <w:i w:val="0"/>
        <w:color w:val="auto"/>
        <w:sz w:val="28"/>
        <w:szCs w:val="28"/>
      </w:rPr>
    </w:lvl>
    <w:lvl w:ilvl="1" w:tplc="87B847C0" w:tentative="1">
      <w:start w:val="1"/>
      <w:numFmt w:val="lowerLetter"/>
      <w:lvlText w:val="%2."/>
      <w:lvlJc w:val="left"/>
      <w:pPr>
        <w:ind w:left="1080" w:hanging="360"/>
      </w:pPr>
    </w:lvl>
    <w:lvl w:ilvl="2" w:tplc="F8881E1A" w:tentative="1">
      <w:start w:val="1"/>
      <w:numFmt w:val="lowerRoman"/>
      <w:lvlText w:val="%3."/>
      <w:lvlJc w:val="right"/>
      <w:pPr>
        <w:ind w:left="1800" w:hanging="180"/>
      </w:pPr>
    </w:lvl>
    <w:lvl w:ilvl="3" w:tplc="4FDAD0AE" w:tentative="1">
      <w:start w:val="1"/>
      <w:numFmt w:val="decimal"/>
      <w:lvlText w:val="%4."/>
      <w:lvlJc w:val="left"/>
      <w:pPr>
        <w:ind w:left="2520" w:hanging="360"/>
      </w:pPr>
    </w:lvl>
    <w:lvl w:ilvl="4" w:tplc="5450174C" w:tentative="1">
      <w:start w:val="1"/>
      <w:numFmt w:val="lowerLetter"/>
      <w:lvlText w:val="%5."/>
      <w:lvlJc w:val="left"/>
      <w:pPr>
        <w:ind w:left="3240" w:hanging="360"/>
      </w:pPr>
    </w:lvl>
    <w:lvl w:ilvl="5" w:tplc="FEAEFA08" w:tentative="1">
      <w:start w:val="1"/>
      <w:numFmt w:val="lowerRoman"/>
      <w:lvlText w:val="%6."/>
      <w:lvlJc w:val="right"/>
      <w:pPr>
        <w:ind w:left="3960" w:hanging="180"/>
      </w:pPr>
    </w:lvl>
    <w:lvl w:ilvl="6" w:tplc="A1F6F638" w:tentative="1">
      <w:start w:val="1"/>
      <w:numFmt w:val="decimal"/>
      <w:lvlText w:val="%7."/>
      <w:lvlJc w:val="left"/>
      <w:pPr>
        <w:ind w:left="4680" w:hanging="360"/>
      </w:pPr>
    </w:lvl>
    <w:lvl w:ilvl="7" w:tplc="51465A30" w:tentative="1">
      <w:start w:val="1"/>
      <w:numFmt w:val="lowerLetter"/>
      <w:lvlText w:val="%8."/>
      <w:lvlJc w:val="left"/>
      <w:pPr>
        <w:ind w:left="5400" w:hanging="360"/>
      </w:pPr>
    </w:lvl>
    <w:lvl w:ilvl="8" w:tplc="5CA24976" w:tentative="1">
      <w:start w:val="1"/>
      <w:numFmt w:val="lowerRoman"/>
      <w:lvlText w:val="%9."/>
      <w:lvlJc w:val="right"/>
      <w:pPr>
        <w:ind w:left="6120" w:hanging="180"/>
      </w:pPr>
    </w:lvl>
  </w:abstractNum>
  <w:abstractNum w:abstractNumId="40" w15:restartNumberingAfterBreak="0">
    <w:nsid w:val="744A0F0E"/>
    <w:multiLevelType w:val="hybridMultilevel"/>
    <w:tmpl w:val="845C436E"/>
    <w:lvl w:ilvl="0" w:tplc="E160DAAA">
      <w:start w:val="1"/>
      <w:numFmt w:val="bullet"/>
      <w:lvlText w:val=""/>
      <w:lvlJc w:val="left"/>
      <w:pPr>
        <w:ind w:left="927" w:hanging="360"/>
      </w:pPr>
      <w:rPr>
        <w:rFonts w:ascii="Symbol" w:hAnsi="Symbol" w:hint="default"/>
      </w:rPr>
    </w:lvl>
    <w:lvl w:ilvl="1" w:tplc="4018307C" w:tentative="1">
      <w:start w:val="1"/>
      <w:numFmt w:val="bullet"/>
      <w:lvlText w:val="o"/>
      <w:lvlJc w:val="left"/>
      <w:pPr>
        <w:ind w:left="1647" w:hanging="360"/>
      </w:pPr>
      <w:rPr>
        <w:rFonts w:ascii="Courier New" w:hAnsi="Courier New" w:cs="Courier New" w:hint="default"/>
      </w:rPr>
    </w:lvl>
    <w:lvl w:ilvl="2" w:tplc="6D0A6F78" w:tentative="1">
      <w:start w:val="1"/>
      <w:numFmt w:val="bullet"/>
      <w:lvlText w:val=""/>
      <w:lvlJc w:val="left"/>
      <w:pPr>
        <w:ind w:left="2367" w:hanging="360"/>
      </w:pPr>
      <w:rPr>
        <w:rFonts w:ascii="Wingdings" w:hAnsi="Wingdings" w:hint="default"/>
      </w:rPr>
    </w:lvl>
    <w:lvl w:ilvl="3" w:tplc="AE880726" w:tentative="1">
      <w:start w:val="1"/>
      <w:numFmt w:val="bullet"/>
      <w:lvlText w:val=""/>
      <w:lvlJc w:val="left"/>
      <w:pPr>
        <w:ind w:left="3087" w:hanging="360"/>
      </w:pPr>
      <w:rPr>
        <w:rFonts w:ascii="Symbol" w:hAnsi="Symbol" w:hint="default"/>
      </w:rPr>
    </w:lvl>
    <w:lvl w:ilvl="4" w:tplc="8508E516" w:tentative="1">
      <w:start w:val="1"/>
      <w:numFmt w:val="bullet"/>
      <w:lvlText w:val="o"/>
      <w:lvlJc w:val="left"/>
      <w:pPr>
        <w:ind w:left="3807" w:hanging="360"/>
      </w:pPr>
      <w:rPr>
        <w:rFonts w:ascii="Courier New" w:hAnsi="Courier New" w:cs="Courier New" w:hint="default"/>
      </w:rPr>
    </w:lvl>
    <w:lvl w:ilvl="5" w:tplc="363E6D36" w:tentative="1">
      <w:start w:val="1"/>
      <w:numFmt w:val="bullet"/>
      <w:lvlText w:val=""/>
      <w:lvlJc w:val="left"/>
      <w:pPr>
        <w:ind w:left="4527" w:hanging="360"/>
      </w:pPr>
      <w:rPr>
        <w:rFonts w:ascii="Wingdings" w:hAnsi="Wingdings" w:hint="default"/>
      </w:rPr>
    </w:lvl>
    <w:lvl w:ilvl="6" w:tplc="1B70FEE2" w:tentative="1">
      <w:start w:val="1"/>
      <w:numFmt w:val="bullet"/>
      <w:lvlText w:val=""/>
      <w:lvlJc w:val="left"/>
      <w:pPr>
        <w:ind w:left="5247" w:hanging="360"/>
      </w:pPr>
      <w:rPr>
        <w:rFonts w:ascii="Symbol" w:hAnsi="Symbol" w:hint="default"/>
      </w:rPr>
    </w:lvl>
    <w:lvl w:ilvl="7" w:tplc="AFE4562C" w:tentative="1">
      <w:start w:val="1"/>
      <w:numFmt w:val="bullet"/>
      <w:lvlText w:val="o"/>
      <w:lvlJc w:val="left"/>
      <w:pPr>
        <w:ind w:left="5967" w:hanging="360"/>
      </w:pPr>
      <w:rPr>
        <w:rFonts w:ascii="Courier New" w:hAnsi="Courier New" w:cs="Courier New" w:hint="default"/>
      </w:rPr>
    </w:lvl>
    <w:lvl w:ilvl="8" w:tplc="5D7E2530" w:tentative="1">
      <w:start w:val="1"/>
      <w:numFmt w:val="bullet"/>
      <w:lvlText w:val=""/>
      <w:lvlJc w:val="left"/>
      <w:pPr>
        <w:ind w:left="6687" w:hanging="360"/>
      </w:pPr>
      <w:rPr>
        <w:rFonts w:ascii="Wingdings" w:hAnsi="Wingdings" w:hint="default"/>
      </w:rPr>
    </w:lvl>
  </w:abstractNum>
  <w:num w:numId="1">
    <w:abstractNumId w:val="25"/>
  </w:num>
  <w:num w:numId="2">
    <w:abstractNumId w:val="30"/>
  </w:num>
  <w:num w:numId="3">
    <w:abstractNumId w:val="39"/>
  </w:num>
  <w:num w:numId="4">
    <w:abstractNumId w:val="37"/>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36"/>
  </w:num>
  <w:num w:numId="27">
    <w:abstractNumId w:val="26"/>
  </w:num>
  <w:num w:numId="28">
    <w:abstractNumId w:val="31"/>
  </w:num>
  <w:num w:numId="29">
    <w:abstractNumId w:val="29"/>
  </w:num>
  <w:num w:numId="30">
    <w:abstractNumId w:val="32"/>
  </w:num>
  <w:num w:numId="31">
    <w:abstractNumId w:val="20"/>
  </w:num>
  <w:num w:numId="32">
    <w:abstractNumId w:val="34"/>
  </w:num>
  <w:num w:numId="33">
    <w:abstractNumId w:val="35"/>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2"/>
  </w:num>
  <w:num w:numId="40">
    <w:abstractNumId w:val="28"/>
  </w:num>
  <w:num w:numId="41">
    <w:abstractNumId w:val="23"/>
  </w:num>
  <w:num w:numId="42">
    <w:abstractNumId w:val="33"/>
  </w:num>
  <w:num w:numId="43">
    <w:abstractNumId w:val="2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9B"/>
    <w:rsid w:val="000368F0"/>
    <w:rsid w:val="002217B8"/>
    <w:rsid w:val="004177E4"/>
    <w:rsid w:val="004D5B8D"/>
    <w:rsid w:val="005B099C"/>
    <w:rsid w:val="005E280D"/>
    <w:rsid w:val="00605559"/>
    <w:rsid w:val="00612798"/>
    <w:rsid w:val="00624199"/>
    <w:rsid w:val="00713660"/>
    <w:rsid w:val="00745787"/>
    <w:rsid w:val="007519AC"/>
    <w:rsid w:val="0077467F"/>
    <w:rsid w:val="007D0D5E"/>
    <w:rsid w:val="00800589"/>
    <w:rsid w:val="008631EB"/>
    <w:rsid w:val="0093099B"/>
    <w:rsid w:val="009E1406"/>
    <w:rsid w:val="00A86CDA"/>
    <w:rsid w:val="00AA76FE"/>
    <w:rsid w:val="00AC33E0"/>
    <w:rsid w:val="00B63EA8"/>
    <w:rsid w:val="00C23724"/>
    <w:rsid w:val="00C54FB9"/>
    <w:rsid w:val="00D33D4B"/>
    <w:rsid w:val="00ED493B"/>
    <w:rsid w:val="00ED6501"/>
    <w:rsid w:val="00F11222"/>
    <w:rsid w:val="00FF0C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0B20"/>
  <w15:docId w15:val="{3F982722-13D5-419E-A293-9CFF9480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A076-DFCA-44B0-A628-F97171B9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261</TotalTime>
  <Pages>23</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19</cp:revision>
  <cp:lastPrinted>2019-01-09T17:08:00Z</cp:lastPrinted>
  <dcterms:created xsi:type="dcterms:W3CDTF">2019-08-22T11:35:00Z</dcterms:created>
  <dcterms:modified xsi:type="dcterms:W3CDTF">2019-08-27T12:53:00Z</dcterms:modified>
</cp:coreProperties>
</file>